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427A1A25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F37A3D">
        <w:rPr>
          <w:rFonts w:ascii="Times New Roman" w:hAnsi="Times New Roman"/>
          <w:b/>
          <w:bCs/>
          <w:caps/>
          <w:sz w:val="28"/>
          <w:szCs w:val="28"/>
        </w:rPr>
        <w:t>A</w:t>
      </w:r>
      <w:r w:rsidR="0032087D" w:rsidRPr="00574F4A">
        <w:rPr>
          <w:rFonts w:ascii="Times New Roman" w:hAnsi="Times New Roman"/>
          <w:b/>
          <w:bCs/>
          <w:caps/>
          <w:sz w:val="28"/>
          <w:szCs w:val="28"/>
        </w:rPr>
        <w:t>-</w:t>
      </w:r>
      <w:r w:rsidR="00820779">
        <w:rPr>
          <w:rFonts w:ascii="Times New Roman" w:hAnsi="Times New Roman"/>
          <w:b/>
          <w:bCs/>
          <w:caps/>
          <w:sz w:val="28"/>
          <w:szCs w:val="28"/>
        </w:rPr>
        <w:t>5.1.2</w:t>
      </w:r>
      <w:r w:rsidR="00F37A3D" w:rsidRPr="00F37A3D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1DFA521" w:rsidR="0032087D" w:rsidRPr="0061151C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74F4A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574F4A">
        <w:rPr>
          <w:rFonts w:ascii="Times New Roman" w:hAnsi="Times New Roman"/>
          <w:b/>
          <w:bCs/>
          <w:sz w:val="28"/>
          <w:szCs w:val="28"/>
        </w:rPr>
        <w:t>orlátozott</w:t>
      </w:r>
      <w:proofErr w:type="gramEnd"/>
      <w:r w:rsidR="009D5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151C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20CA13A3" w14:textId="2CCF88E8" w:rsidR="0032087D" w:rsidRPr="00F37A3D" w:rsidRDefault="00F06540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540">
        <w:rPr>
          <w:rFonts w:ascii="Times New Roman" w:hAnsi="Times New Roman"/>
          <w:b/>
          <w:bCs/>
          <w:sz w:val="28"/>
          <w:szCs w:val="28"/>
        </w:rPr>
        <w:t>Súlyos és szervezett bűnözés elleni küzdelemmel foglalkozó egységek kapacitásainak fejlesztése</w:t>
      </w:r>
      <w:r w:rsidR="00574F4A" w:rsidRPr="00574F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720E" w:rsidRPr="00574F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25C28159" w14:textId="77777777" w:rsidR="00A8034F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459" w:history="1">
            <w:r w:rsidR="00A8034F" w:rsidRPr="00EC2BE2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A8034F">
              <w:rPr>
                <w:noProof/>
                <w:webHidden/>
              </w:rPr>
              <w:tab/>
            </w:r>
            <w:r w:rsidR="00A8034F">
              <w:rPr>
                <w:noProof/>
                <w:webHidden/>
              </w:rPr>
              <w:fldChar w:fldCharType="begin"/>
            </w:r>
            <w:r w:rsidR="00A8034F">
              <w:rPr>
                <w:noProof/>
                <w:webHidden/>
              </w:rPr>
              <w:instrText xml:space="preserve"> PAGEREF _Toc11685459 \h </w:instrText>
            </w:r>
            <w:r w:rsidR="00A8034F">
              <w:rPr>
                <w:noProof/>
                <w:webHidden/>
              </w:rPr>
            </w:r>
            <w:r w:rsidR="00A8034F">
              <w:rPr>
                <w:noProof/>
                <w:webHidden/>
              </w:rPr>
              <w:fldChar w:fldCharType="separate"/>
            </w:r>
            <w:r w:rsidR="00A8034F">
              <w:rPr>
                <w:noProof/>
                <w:webHidden/>
              </w:rPr>
              <w:t>4</w:t>
            </w:r>
            <w:r w:rsidR="00A8034F">
              <w:rPr>
                <w:noProof/>
                <w:webHidden/>
              </w:rPr>
              <w:fldChar w:fldCharType="end"/>
            </w:r>
          </w:hyperlink>
        </w:p>
        <w:p w14:paraId="31E8FF9C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60" w:history="1">
            <w:r w:rsidR="00A8034F" w:rsidRPr="00EC2BE2">
              <w:rPr>
                <w:rStyle w:val="Hiperhivatkozs"/>
              </w:rPr>
              <w:t>I.1. Általános információk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_Toc11685460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4</w:t>
            </w:r>
            <w:r w:rsidR="00A8034F">
              <w:rPr>
                <w:webHidden/>
              </w:rPr>
              <w:fldChar w:fldCharType="end"/>
            </w:r>
          </w:hyperlink>
        </w:p>
        <w:p w14:paraId="52A2DA10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61" w:history="1">
            <w:r w:rsidR="00A8034F" w:rsidRPr="00EC2BE2">
              <w:rPr>
                <w:rStyle w:val="Hiperhivatkozs"/>
              </w:rPr>
              <w:t>I.1.1. A támogatási kérelmek benyújtásának módja, helye és ideje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_Toc11685461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4</w:t>
            </w:r>
            <w:r w:rsidR="00A8034F">
              <w:rPr>
                <w:webHidden/>
              </w:rPr>
              <w:fldChar w:fldCharType="end"/>
            </w:r>
          </w:hyperlink>
        </w:p>
        <w:p w14:paraId="4C948236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62" w:history="1">
            <w:r w:rsidR="00A8034F" w:rsidRPr="00EC2BE2">
              <w:rPr>
                <w:rStyle w:val="Hiperhivatkozs"/>
              </w:rPr>
              <w:t>I.1.2. A támogatást igénylők tájékoztatása, értesítése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_Toc11685462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5</w:t>
            </w:r>
            <w:r w:rsidR="00A8034F">
              <w:rPr>
                <w:webHidden/>
              </w:rPr>
              <w:fldChar w:fldCharType="end"/>
            </w:r>
          </w:hyperlink>
        </w:p>
        <w:p w14:paraId="785428C1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63" w:history="1">
            <w:r w:rsidR="00A8034F" w:rsidRPr="00EC2BE2">
              <w:rPr>
                <w:rStyle w:val="Hiperhivatkozs"/>
              </w:rPr>
              <w:t>I.2. Pénzügyi információk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_Toc11685463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6</w:t>
            </w:r>
            <w:r w:rsidR="00A8034F">
              <w:rPr>
                <w:webHidden/>
              </w:rPr>
              <w:fldChar w:fldCharType="end"/>
            </w:r>
          </w:hyperlink>
        </w:p>
        <w:p w14:paraId="4FAC7DD5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64" w:history="1">
            <w:r w:rsidR="00A8034F" w:rsidRPr="00EC2BE2">
              <w:rPr>
                <w:rStyle w:val="Hiperhivatkozs"/>
              </w:rPr>
              <w:t>I.2.1 Általános információk, a finanszírozás módja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_Toc11685464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6</w:t>
            </w:r>
            <w:r w:rsidR="00A8034F">
              <w:rPr>
                <w:webHidden/>
              </w:rPr>
              <w:fldChar w:fldCharType="end"/>
            </w:r>
          </w:hyperlink>
        </w:p>
        <w:p w14:paraId="276428D3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65" w:history="1">
            <w:r w:rsidR="00A8034F" w:rsidRPr="00EC2BE2">
              <w:rPr>
                <w:rStyle w:val="Hiperhivatkozs"/>
              </w:rPr>
              <w:t>I.3. Célcsoport/ egyéb közreműködők és támogatható intézkedések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_Toc11685465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7</w:t>
            </w:r>
            <w:r w:rsidR="00A8034F">
              <w:rPr>
                <w:webHidden/>
              </w:rPr>
              <w:fldChar w:fldCharType="end"/>
            </w:r>
          </w:hyperlink>
        </w:p>
        <w:p w14:paraId="487EF554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66" w:history="1">
            <w:r w:rsidR="00A8034F" w:rsidRPr="00EC2BE2">
              <w:rPr>
                <w:rStyle w:val="Hiperhivatkozs"/>
              </w:rPr>
              <w:t>I.3.1 Célcsoport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_Toc11685466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7</w:t>
            </w:r>
            <w:r w:rsidR="00A8034F">
              <w:rPr>
                <w:webHidden/>
              </w:rPr>
              <w:fldChar w:fldCharType="end"/>
            </w:r>
          </w:hyperlink>
        </w:p>
        <w:p w14:paraId="499666B7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67" w:history="1">
            <w:r w:rsidR="00A8034F" w:rsidRPr="00EC2BE2">
              <w:rPr>
                <w:rStyle w:val="Hiperhivatkozs"/>
              </w:rPr>
              <w:t>I.3.2. Támogatható intézkedés ismertetése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_Toc11685467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7</w:t>
            </w:r>
            <w:r w:rsidR="00A8034F">
              <w:rPr>
                <w:webHidden/>
              </w:rPr>
              <w:fldChar w:fldCharType="end"/>
            </w:r>
          </w:hyperlink>
        </w:p>
        <w:p w14:paraId="29EF5419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68" w:history="1">
            <w:r w:rsidR="00A8034F" w:rsidRPr="00EC2BE2">
              <w:rPr>
                <w:rStyle w:val="Hiperhivatkozs"/>
              </w:rPr>
              <w:t>I. 4. A BBA-ra vonatkozó főbb jogszabályok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_Toc11685468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8</w:t>
            </w:r>
            <w:r w:rsidR="00A8034F">
              <w:rPr>
                <w:webHidden/>
              </w:rPr>
              <w:fldChar w:fldCharType="end"/>
            </w:r>
          </w:hyperlink>
        </w:p>
        <w:p w14:paraId="5D79FFD9" w14:textId="77777777" w:rsidR="00A8034F" w:rsidRDefault="007D475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469" w:history="1">
            <w:r w:rsidR="00A8034F" w:rsidRPr="00EC2BE2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A8034F">
              <w:rPr>
                <w:noProof/>
                <w:webHidden/>
              </w:rPr>
              <w:tab/>
            </w:r>
            <w:r w:rsidR="00A8034F">
              <w:rPr>
                <w:noProof/>
                <w:webHidden/>
              </w:rPr>
              <w:fldChar w:fldCharType="begin"/>
            </w:r>
            <w:r w:rsidR="00A8034F">
              <w:rPr>
                <w:noProof/>
                <w:webHidden/>
              </w:rPr>
              <w:instrText xml:space="preserve"> PAGEREF _Toc11685469 \h </w:instrText>
            </w:r>
            <w:r w:rsidR="00A8034F">
              <w:rPr>
                <w:noProof/>
                <w:webHidden/>
              </w:rPr>
            </w:r>
            <w:r w:rsidR="00A8034F">
              <w:rPr>
                <w:noProof/>
                <w:webHidden/>
              </w:rPr>
              <w:fldChar w:fldCharType="separate"/>
            </w:r>
            <w:r w:rsidR="00A8034F">
              <w:rPr>
                <w:noProof/>
                <w:webHidden/>
              </w:rPr>
              <w:t>12</w:t>
            </w:r>
            <w:r w:rsidR="00A8034F">
              <w:rPr>
                <w:noProof/>
                <w:webHidden/>
              </w:rPr>
              <w:fldChar w:fldCharType="end"/>
            </w:r>
          </w:hyperlink>
        </w:p>
        <w:p w14:paraId="2C590D96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70" w:history="1">
            <w:r w:rsidR="00A8034F" w:rsidRPr="00EC2BE2">
              <w:rPr>
                <w:rStyle w:val="Hiperhivatkozs"/>
              </w:rPr>
              <w:t>II.1. Jogszabályi előírásoknak való megfelelőség vizsgálata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_Toc11685470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12</w:t>
            </w:r>
            <w:r w:rsidR="00A8034F">
              <w:rPr>
                <w:webHidden/>
              </w:rPr>
              <w:fldChar w:fldCharType="end"/>
            </w:r>
          </w:hyperlink>
        </w:p>
        <w:p w14:paraId="6F6B0097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71" w:history="1">
            <w:r w:rsidR="00A8034F" w:rsidRPr="00EC2BE2">
              <w:rPr>
                <w:rStyle w:val="Hiperhivatkozs"/>
              </w:rPr>
              <w:t>II.2. Gazdasági és pénzügyi alkalmasság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_Toc11685471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17</w:t>
            </w:r>
            <w:r w:rsidR="00A8034F">
              <w:rPr>
                <w:webHidden/>
              </w:rPr>
              <w:fldChar w:fldCharType="end"/>
            </w:r>
          </w:hyperlink>
        </w:p>
        <w:p w14:paraId="77029D88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72" w:history="1">
            <w:r w:rsidR="00A8034F" w:rsidRPr="00EC2BE2">
              <w:rPr>
                <w:rStyle w:val="Hiperhivatkozs"/>
              </w:rPr>
              <w:t>II 3. Partner bevonása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_Toc11685472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17</w:t>
            </w:r>
            <w:r w:rsidR="00A8034F">
              <w:rPr>
                <w:webHidden/>
              </w:rPr>
              <w:fldChar w:fldCharType="end"/>
            </w:r>
          </w:hyperlink>
        </w:p>
        <w:p w14:paraId="3A627433" w14:textId="77777777" w:rsidR="00A8034F" w:rsidRDefault="007D475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473" w:history="1">
            <w:r w:rsidR="00A8034F" w:rsidRPr="00EC2BE2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A8034F">
              <w:rPr>
                <w:noProof/>
                <w:webHidden/>
              </w:rPr>
              <w:tab/>
            </w:r>
            <w:r w:rsidR="00A8034F">
              <w:rPr>
                <w:noProof/>
                <w:webHidden/>
              </w:rPr>
              <w:fldChar w:fldCharType="begin"/>
            </w:r>
            <w:r w:rsidR="00A8034F">
              <w:rPr>
                <w:noProof/>
                <w:webHidden/>
              </w:rPr>
              <w:instrText xml:space="preserve"> PAGEREF _Toc11685473 \h </w:instrText>
            </w:r>
            <w:r w:rsidR="00A8034F">
              <w:rPr>
                <w:noProof/>
                <w:webHidden/>
              </w:rPr>
            </w:r>
            <w:r w:rsidR="00A8034F">
              <w:rPr>
                <w:noProof/>
                <w:webHidden/>
              </w:rPr>
              <w:fldChar w:fldCharType="separate"/>
            </w:r>
            <w:r w:rsidR="00A8034F">
              <w:rPr>
                <w:noProof/>
                <w:webHidden/>
              </w:rPr>
              <w:t>18</w:t>
            </w:r>
            <w:r w:rsidR="00A8034F">
              <w:rPr>
                <w:noProof/>
                <w:webHidden/>
              </w:rPr>
              <w:fldChar w:fldCharType="end"/>
            </w:r>
          </w:hyperlink>
        </w:p>
        <w:p w14:paraId="6E10A3DD" w14:textId="77777777" w:rsidR="00A8034F" w:rsidRDefault="007D475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474" w:history="1">
            <w:r w:rsidR="00A8034F" w:rsidRPr="00EC2BE2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A8034F">
              <w:rPr>
                <w:noProof/>
                <w:webHidden/>
              </w:rPr>
              <w:tab/>
            </w:r>
            <w:r w:rsidR="00A8034F">
              <w:rPr>
                <w:noProof/>
                <w:webHidden/>
              </w:rPr>
              <w:fldChar w:fldCharType="begin"/>
            </w:r>
            <w:r w:rsidR="00A8034F">
              <w:rPr>
                <w:noProof/>
                <w:webHidden/>
              </w:rPr>
              <w:instrText xml:space="preserve"> PAGEREF _Toc11685474 \h </w:instrText>
            </w:r>
            <w:r w:rsidR="00A8034F">
              <w:rPr>
                <w:noProof/>
                <w:webHidden/>
              </w:rPr>
            </w:r>
            <w:r w:rsidR="00A8034F">
              <w:rPr>
                <w:noProof/>
                <w:webHidden/>
              </w:rPr>
              <w:fldChar w:fldCharType="separate"/>
            </w:r>
            <w:r w:rsidR="00A8034F">
              <w:rPr>
                <w:noProof/>
                <w:webHidden/>
              </w:rPr>
              <w:t>19</w:t>
            </w:r>
            <w:r w:rsidR="00A8034F">
              <w:rPr>
                <w:noProof/>
                <w:webHidden/>
              </w:rPr>
              <w:fldChar w:fldCharType="end"/>
            </w:r>
          </w:hyperlink>
        </w:p>
        <w:p w14:paraId="0F6B3F3D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75" w:history="1">
            <w:r w:rsidR="00A8034F" w:rsidRPr="00EC2BE2">
              <w:rPr>
                <w:rStyle w:val="Hiperhivatkozs"/>
              </w:rPr>
              <w:t>IV.1. Előlegre vonatkozó szabályok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_Toc11685475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19</w:t>
            </w:r>
            <w:r w:rsidR="00A8034F">
              <w:rPr>
                <w:webHidden/>
              </w:rPr>
              <w:fldChar w:fldCharType="end"/>
            </w:r>
          </w:hyperlink>
        </w:p>
        <w:p w14:paraId="2065B4A5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76" w:history="1">
            <w:r w:rsidR="00A8034F" w:rsidRPr="00EC2BE2">
              <w:rPr>
                <w:rStyle w:val="Hiperhivatkozs"/>
              </w:rPr>
              <w:t>IV.2. Az elszámolhatóság általános feltételei: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_Toc11685476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19</w:t>
            </w:r>
            <w:r w:rsidR="00A8034F">
              <w:rPr>
                <w:webHidden/>
              </w:rPr>
              <w:fldChar w:fldCharType="end"/>
            </w:r>
          </w:hyperlink>
        </w:p>
        <w:p w14:paraId="78CFDB3B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77" w:history="1">
            <w:r w:rsidR="00A8034F" w:rsidRPr="00EC2BE2">
              <w:rPr>
                <w:rStyle w:val="Hiperhivatkozs"/>
              </w:rPr>
              <w:t>IV.3. Az elszámolható költségek köre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_Toc11685477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23</w:t>
            </w:r>
            <w:r w:rsidR="00A8034F">
              <w:rPr>
                <w:webHidden/>
              </w:rPr>
              <w:fldChar w:fldCharType="end"/>
            </w:r>
          </w:hyperlink>
        </w:p>
        <w:p w14:paraId="591A569A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78" w:history="1">
            <w:r w:rsidR="00A8034F" w:rsidRPr="00EC2BE2">
              <w:rPr>
                <w:rStyle w:val="Hiperhivatkozs"/>
              </w:rPr>
              <w:t>IV.3.1. Projekt előkészítés költségei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_Toc11685478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24</w:t>
            </w:r>
            <w:r w:rsidR="00A8034F">
              <w:rPr>
                <w:webHidden/>
              </w:rPr>
              <w:fldChar w:fldCharType="end"/>
            </w:r>
          </w:hyperlink>
        </w:p>
        <w:p w14:paraId="627928A3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79" w:history="1">
            <w:r w:rsidR="00A8034F" w:rsidRPr="00EC2BE2">
              <w:rPr>
                <w:rStyle w:val="Hiperhivatkozs"/>
              </w:rPr>
              <w:t>IV.3.2. Beruházáshoz kapcsolódó költségek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_Toc11685479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25</w:t>
            </w:r>
            <w:r w:rsidR="00A8034F">
              <w:rPr>
                <w:webHidden/>
              </w:rPr>
              <w:fldChar w:fldCharType="end"/>
            </w:r>
          </w:hyperlink>
        </w:p>
        <w:p w14:paraId="5D18D51F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80" w:history="1">
            <w:r w:rsidR="00A8034F" w:rsidRPr="00EC2BE2">
              <w:rPr>
                <w:rStyle w:val="Hiperhivatkozs"/>
              </w:rPr>
              <w:t>IV.3.3. Szakmai megvalósításhoz kapcsolódó szolgáltatások költségei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_Toc11685480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28</w:t>
            </w:r>
            <w:r w:rsidR="00A8034F">
              <w:rPr>
                <w:webHidden/>
              </w:rPr>
              <w:fldChar w:fldCharType="end"/>
            </w:r>
          </w:hyperlink>
        </w:p>
        <w:p w14:paraId="1CB4F349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81" w:history="1">
            <w:r w:rsidR="00A8034F" w:rsidRPr="00EC2BE2">
              <w:rPr>
                <w:rStyle w:val="Hiperhivatkozs"/>
              </w:rPr>
              <w:t>IV.3.4. Szakmai megvalósításában közreműködők költségei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_Toc11685481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30</w:t>
            </w:r>
            <w:r w:rsidR="00A8034F">
              <w:rPr>
                <w:webHidden/>
              </w:rPr>
              <w:fldChar w:fldCharType="end"/>
            </w:r>
          </w:hyperlink>
        </w:p>
        <w:p w14:paraId="64E5F602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82" w:history="1">
            <w:r w:rsidR="00A8034F" w:rsidRPr="00EC2BE2">
              <w:rPr>
                <w:rStyle w:val="Hiperhivatkozs"/>
              </w:rPr>
              <w:t>IV.3.5</w:t>
            </w:r>
            <w:r w:rsidR="00A8034F" w:rsidRPr="00EC2BE2">
              <w:rPr>
                <w:rStyle w:val="Hiperhivatkozs"/>
                <w:lang w:eastAsia="hu-HU"/>
              </w:rPr>
              <w:t>. Szakmai megvalósításhoz kapcsolódó egyéb költségek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_Toc11685482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33</w:t>
            </w:r>
            <w:r w:rsidR="00A8034F">
              <w:rPr>
                <w:webHidden/>
              </w:rPr>
              <w:fldChar w:fldCharType="end"/>
            </w:r>
          </w:hyperlink>
        </w:p>
        <w:p w14:paraId="651B974C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83" w:history="1">
            <w:r w:rsidR="00A8034F" w:rsidRPr="00EC2BE2">
              <w:rPr>
                <w:rStyle w:val="Hiperhivatkozs"/>
              </w:rPr>
              <w:t>IV.3.6</w:t>
            </w:r>
            <w:r w:rsidR="00A8034F" w:rsidRPr="00EC2BE2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_Toc11685483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33</w:t>
            </w:r>
            <w:r w:rsidR="00A8034F">
              <w:rPr>
                <w:webHidden/>
              </w:rPr>
              <w:fldChar w:fldCharType="end"/>
            </w:r>
          </w:hyperlink>
        </w:p>
        <w:p w14:paraId="6E882003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84" w:history="1">
            <w:r w:rsidR="00A8034F" w:rsidRPr="00EC2BE2">
              <w:rPr>
                <w:rStyle w:val="Hiperhivatkozs"/>
              </w:rPr>
              <w:t>IV.3.7. Projektmenedzsment költségek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_Toc11685484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33</w:t>
            </w:r>
            <w:r w:rsidR="00A8034F">
              <w:rPr>
                <w:webHidden/>
              </w:rPr>
              <w:fldChar w:fldCharType="end"/>
            </w:r>
          </w:hyperlink>
        </w:p>
        <w:p w14:paraId="77411862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85" w:history="1">
            <w:r w:rsidR="00A8034F" w:rsidRPr="00EC2BE2">
              <w:rPr>
                <w:rStyle w:val="Hiperhivatkozs"/>
              </w:rPr>
              <w:t>IV.3.8. Közvetett költség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_Toc11685485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34</w:t>
            </w:r>
            <w:r w:rsidR="00A8034F">
              <w:rPr>
                <w:webHidden/>
              </w:rPr>
              <w:fldChar w:fldCharType="end"/>
            </w:r>
          </w:hyperlink>
        </w:p>
        <w:p w14:paraId="17516D34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86" w:history="1">
            <w:r w:rsidR="00A8034F" w:rsidRPr="00EC2BE2">
              <w:rPr>
                <w:rStyle w:val="Hiperhivatkozs"/>
              </w:rPr>
              <w:t>IV.4. A projekt végrehajtás további szabályai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_Toc11685486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35</w:t>
            </w:r>
            <w:r w:rsidR="00A8034F">
              <w:rPr>
                <w:webHidden/>
              </w:rPr>
              <w:fldChar w:fldCharType="end"/>
            </w:r>
          </w:hyperlink>
        </w:p>
        <w:p w14:paraId="29D71246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87" w:history="1">
            <w:r w:rsidR="00A8034F" w:rsidRPr="00EC2BE2">
              <w:rPr>
                <w:rStyle w:val="Hiperhivatkozs"/>
              </w:rPr>
              <w:t>IV.5. Nem elszámolható költségek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_Toc11685487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35</w:t>
            </w:r>
            <w:r w:rsidR="00A8034F">
              <w:rPr>
                <w:webHidden/>
              </w:rPr>
              <w:fldChar w:fldCharType="end"/>
            </w:r>
          </w:hyperlink>
        </w:p>
        <w:p w14:paraId="3AE4CB9D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88" w:history="1">
            <w:r w:rsidR="00A8034F" w:rsidRPr="00EC2BE2">
              <w:rPr>
                <w:rStyle w:val="Hiperhivatkozs"/>
              </w:rPr>
              <w:t>IV.6. Bevételek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_Toc11685488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36</w:t>
            </w:r>
            <w:r w:rsidR="00A8034F">
              <w:rPr>
                <w:webHidden/>
              </w:rPr>
              <w:fldChar w:fldCharType="end"/>
            </w:r>
          </w:hyperlink>
        </w:p>
        <w:p w14:paraId="76642B1C" w14:textId="77777777" w:rsidR="00A8034F" w:rsidRDefault="007D475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489" w:history="1">
            <w:r w:rsidR="00A8034F" w:rsidRPr="00EC2BE2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A8034F">
              <w:rPr>
                <w:noProof/>
                <w:webHidden/>
              </w:rPr>
              <w:tab/>
            </w:r>
            <w:r w:rsidR="00A8034F">
              <w:rPr>
                <w:noProof/>
                <w:webHidden/>
              </w:rPr>
              <w:fldChar w:fldCharType="begin"/>
            </w:r>
            <w:r w:rsidR="00A8034F">
              <w:rPr>
                <w:noProof/>
                <w:webHidden/>
              </w:rPr>
              <w:instrText xml:space="preserve"> PAGEREF _Toc11685489 \h </w:instrText>
            </w:r>
            <w:r w:rsidR="00A8034F">
              <w:rPr>
                <w:noProof/>
                <w:webHidden/>
              </w:rPr>
            </w:r>
            <w:r w:rsidR="00A8034F">
              <w:rPr>
                <w:noProof/>
                <w:webHidden/>
              </w:rPr>
              <w:fldChar w:fldCharType="separate"/>
            </w:r>
            <w:r w:rsidR="00A8034F">
              <w:rPr>
                <w:noProof/>
                <w:webHidden/>
              </w:rPr>
              <w:t>37</w:t>
            </w:r>
            <w:r w:rsidR="00A8034F">
              <w:rPr>
                <w:noProof/>
                <w:webHidden/>
              </w:rPr>
              <w:fldChar w:fldCharType="end"/>
            </w:r>
          </w:hyperlink>
        </w:p>
        <w:p w14:paraId="7BD6D2A5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90" w:history="1">
            <w:r w:rsidR="00A8034F" w:rsidRPr="00EC2BE2">
              <w:rPr>
                <w:rStyle w:val="Hiperhivatkozs"/>
              </w:rPr>
              <w:t>V.1 Értékelési szempontrendszer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_Toc11685490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38</w:t>
            </w:r>
            <w:r w:rsidR="00A8034F">
              <w:rPr>
                <w:webHidden/>
              </w:rPr>
              <w:fldChar w:fldCharType="end"/>
            </w:r>
          </w:hyperlink>
        </w:p>
        <w:p w14:paraId="7B5BFF58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91" w:history="1">
            <w:r w:rsidR="00A8034F" w:rsidRPr="00EC2BE2">
              <w:rPr>
                <w:rStyle w:val="Hiperhivatkozs"/>
              </w:rPr>
              <w:t>V.2 Nem támogatható a pályázat, amennyiben: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_Toc11685491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44</w:t>
            </w:r>
            <w:r w:rsidR="00A8034F">
              <w:rPr>
                <w:webHidden/>
              </w:rPr>
              <w:fldChar w:fldCharType="end"/>
            </w:r>
          </w:hyperlink>
        </w:p>
        <w:p w14:paraId="135FD978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92" w:history="1">
            <w:r w:rsidR="00A8034F" w:rsidRPr="00EC2BE2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_Toc11685492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45</w:t>
            </w:r>
            <w:r w:rsidR="00A8034F">
              <w:rPr>
                <w:webHidden/>
              </w:rPr>
              <w:fldChar w:fldCharType="end"/>
            </w:r>
          </w:hyperlink>
        </w:p>
        <w:p w14:paraId="5F2685DE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93" w:history="1">
            <w:r w:rsidR="00A8034F" w:rsidRPr="00EC2BE2">
              <w:rPr>
                <w:rStyle w:val="Hiperhivatkozs"/>
              </w:rPr>
              <w:t>V.4. Hiánypótlás, tisztázó kérdés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_Toc11685493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45</w:t>
            </w:r>
            <w:r w:rsidR="00A8034F">
              <w:rPr>
                <w:webHidden/>
              </w:rPr>
              <w:fldChar w:fldCharType="end"/>
            </w:r>
          </w:hyperlink>
        </w:p>
        <w:p w14:paraId="63EA751B" w14:textId="77777777" w:rsidR="00A8034F" w:rsidRDefault="007D475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494" w:history="1">
            <w:r w:rsidR="00A8034F" w:rsidRPr="00EC2BE2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A8034F">
              <w:rPr>
                <w:noProof/>
                <w:webHidden/>
              </w:rPr>
              <w:tab/>
            </w:r>
            <w:r w:rsidR="00A8034F">
              <w:rPr>
                <w:noProof/>
                <w:webHidden/>
              </w:rPr>
              <w:fldChar w:fldCharType="begin"/>
            </w:r>
            <w:r w:rsidR="00A8034F">
              <w:rPr>
                <w:noProof/>
                <w:webHidden/>
              </w:rPr>
              <w:instrText xml:space="preserve"> PAGEREF _Toc11685494 \h </w:instrText>
            </w:r>
            <w:r w:rsidR="00A8034F">
              <w:rPr>
                <w:noProof/>
                <w:webHidden/>
              </w:rPr>
            </w:r>
            <w:r w:rsidR="00A8034F">
              <w:rPr>
                <w:noProof/>
                <w:webHidden/>
              </w:rPr>
              <w:fldChar w:fldCharType="separate"/>
            </w:r>
            <w:r w:rsidR="00A8034F">
              <w:rPr>
                <w:noProof/>
                <w:webHidden/>
              </w:rPr>
              <w:t>46</w:t>
            </w:r>
            <w:r w:rsidR="00A8034F">
              <w:rPr>
                <w:noProof/>
                <w:webHidden/>
              </w:rPr>
              <w:fldChar w:fldCharType="end"/>
            </w:r>
          </w:hyperlink>
        </w:p>
        <w:p w14:paraId="349B7662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95" w:history="1">
            <w:r w:rsidR="00A8034F" w:rsidRPr="00EC2BE2">
              <w:rPr>
                <w:rStyle w:val="Hiperhivatkozs"/>
              </w:rPr>
              <w:t>VI.1. Ellenőrzési tevékenységek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_Toc11685495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46</w:t>
            </w:r>
            <w:r w:rsidR="00A8034F">
              <w:rPr>
                <w:webHidden/>
              </w:rPr>
              <w:fldChar w:fldCharType="end"/>
            </w:r>
          </w:hyperlink>
        </w:p>
        <w:p w14:paraId="4B1964D1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96" w:history="1">
            <w:r w:rsidR="00A8034F" w:rsidRPr="00EC2BE2">
              <w:rPr>
                <w:rStyle w:val="Hiperhivatkozs"/>
              </w:rPr>
              <w:t>VI.1.1. A Felelős Hatóság ellenőrző tevékenysége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_Toc11685496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46</w:t>
            </w:r>
            <w:r w:rsidR="00A8034F">
              <w:rPr>
                <w:webHidden/>
              </w:rPr>
              <w:fldChar w:fldCharType="end"/>
            </w:r>
          </w:hyperlink>
        </w:p>
        <w:p w14:paraId="283D9040" w14:textId="77777777" w:rsidR="00A8034F" w:rsidRDefault="007D475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497" w:history="1">
            <w:r w:rsidR="00A8034F" w:rsidRPr="00EC2BE2">
              <w:rPr>
                <w:rStyle w:val="Hiperhivatkozs"/>
              </w:rPr>
              <w:t>VI.1.2. Egyéb szervezetek ellenőrző tevékenysége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_Toc11685497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48</w:t>
            </w:r>
            <w:r w:rsidR="00A8034F">
              <w:rPr>
                <w:webHidden/>
              </w:rPr>
              <w:fldChar w:fldCharType="end"/>
            </w:r>
          </w:hyperlink>
        </w:p>
        <w:p w14:paraId="5CD3B76C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98" w:history="1">
            <w:r w:rsidR="00A8034F" w:rsidRPr="00EC2BE2">
              <w:rPr>
                <w:rStyle w:val="Hiperhivatkozs"/>
              </w:rPr>
              <w:t>VI.2. Adatszolgáltatási kötelezettség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_Toc11685498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48</w:t>
            </w:r>
            <w:r w:rsidR="00A8034F">
              <w:rPr>
                <w:webHidden/>
              </w:rPr>
              <w:fldChar w:fldCharType="end"/>
            </w:r>
          </w:hyperlink>
        </w:p>
        <w:p w14:paraId="413091B6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99" w:history="1">
            <w:r w:rsidR="00A8034F" w:rsidRPr="00EC2BE2">
              <w:rPr>
                <w:rStyle w:val="Hiperhivatkozs"/>
              </w:rPr>
              <w:t>VI.3. Láthatóság és disszemináció biztosítása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_Toc11685499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49</w:t>
            </w:r>
            <w:r w:rsidR="00A8034F">
              <w:rPr>
                <w:webHidden/>
              </w:rPr>
              <w:fldChar w:fldCharType="end"/>
            </w:r>
          </w:hyperlink>
        </w:p>
        <w:p w14:paraId="7F52C709" w14:textId="77777777" w:rsidR="00A8034F" w:rsidRDefault="007D475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00" w:history="1">
            <w:r w:rsidR="00A8034F" w:rsidRPr="00EC2BE2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A8034F">
              <w:rPr>
                <w:noProof/>
                <w:webHidden/>
              </w:rPr>
              <w:tab/>
            </w:r>
            <w:r w:rsidR="00A8034F">
              <w:rPr>
                <w:noProof/>
                <w:webHidden/>
              </w:rPr>
              <w:fldChar w:fldCharType="begin"/>
            </w:r>
            <w:r w:rsidR="00A8034F">
              <w:rPr>
                <w:noProof/>
                <w:webHidden/>
              </w:rPr>
              <w:instrText xml:space="preserve"> PAGEREF _Toc11685500 \h </w:instrText>
            </w:r>
            <w:r w:rsidR="00A8034F">
              <w:rPr>
                <w:noProof/>
                <w:webHidden/>
              </w:rPr>
            </w:r>
            <w:r w:rsidR="00A8034F">
              <w:rPr>
                <w:noProof/>
                <w:webHidden/>
              </w:rPr>
              <w:fldChar w:fldCharType="separate"/>
            </w:r>
            <w:r w:rsidR="00A8034F">
              <w:rPr>
                <w:noProof/>
                <w:webHidden/>
              </w:rPr>
              <w:t>49</w:t>
            </w:r>
            <w:r w:rsidR="00A8034F">
              <w:rPr>
                <w:noProof/>
                <w:webHidden/>
              </w:rPr>
              <w:fldChar w:fldCharType="end"/>
            </w:r>
          </w:hyperlink>
        </w:p>
        <w:p w14:paraId="25AA8EE5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01" w:history="1">
            <w:r w:rsidR="00A8034F" w:rsidRPr="00EC2BE2">
              <w:rPr>
                <w:rStyle w:val="Hiperhivatkozs"/>
              </w:rPr>
              <w:t>VII.1 Betekintési jog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_Toc11685501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49</w:t>
            </w:r>
            <w:r w:rsidR="00A8034F">
              <w:rPr>
                <w:webHidden/>
              </w:rPr>
              <w:fldChar w:fldCharType="end"/>
            </w:r>
          </w:hyperlink>
        </w:p>
        <w:p w14:paraId="1B38ACF4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02" w:history="1">
            <w:r w:rsidR="00A8034F" w:rsidRPr="00EC2BE2">
              <w:rPr>
                <w:rStyle w:val="Hiperhivatkozs"/>
              </w:rPr>
              <w:t>VII.2. Kifogás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_Toc11685502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49</w:t>
            </w:r>
            <w:r w:rsidR="00A8034F">
              <w:rPr>
                <w:webHidden/>
              </w:rPr>
              <w:fldChar w:fldCharType="end"/>
            </w:r>
          </w:hyperlink>
        </w:p>
        <w:p w14:paraId="684FC43C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03" w:history="1">
            <w:r w:rsidR="00A8034F" w:rsidRPr="00EC2BE2">
              <w:rPr>
                <w:rStyle w:val="Hiperhivatkozs"/>
              </w:rPr>
              <w:t>VII.3. A Támogatási Szerződés megkötésének módja, feltételei (biztosítékok)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_Toc11685503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50</w:t>
            </w:r>
            <w:r w:rsidR="00A8034F">
              <w:rPr>
                <w:webHidden/>
              </w:rPr>
              <w:fldChar w:fldCharType="end"/>
            </w:r>
          </w:hyperlink>
        </w:p>
        <w:p w14:paraId="57282975" w14:textId="77777777" w:rsidR="00A8034F" w:rsidRDefault="007D475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04" w:history="1">
            <w:r w:rsidR="00A8034F" w:rsidRPr="00EC2BE2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A8034F">
              <w:rPr>
                <w:noProof/>
                <w:webHidden/>
              </w:rPr>
              <w:tab/>
            </w:r>
            <w:r w:rsidR="00A8034F">
              <w:rPr>
                <w:noProof/>
                <w:webHidden/>
              </w:rPr>
              <w:fldChar w:fldCharType="begin"/>
            </w:r>
            <w:r w:rsidR="00A8034F">
              <w:rPr>
                <w:noProof/>
                <w:webHidden/>
              </w:rPr>
              <w:instrText xml:space="preserve"> PAGEREF _Toc11685504 \h </w:instrText>
            </w:r>
            <w:r w:rsidR="00A8034F">
              <w:rPr>
                <w:noProof/>
                <w:webHidden/>
              </w:rPr>
            </w:r>
            <w:r w:rsidR="00A8034F">
              <w:rPr>
                <w:noProof/>
                <w:webHidden/>
              </w:rPr>
              <w:fldChar w:fldCharType="separate"/>
            </w:r>
            <w:r w:rsidR="00A8034F">
              <w:rPr>
                <w:noProof/>
                <w:webHidden/>
              </w:rPr>
              <w:t>51</w:t>
            </w:r>
            <w:r w:rsidR="00A8034F">
              <w:rPr>
                <w:noProof/>
                <w:webHidden/>
              </w:rPr>
              <w:fldChar w:fldCharType="end"/>
            </w:r>
          </w:hyperlink>
        </w:p>
        <w:p w14:paraId="3ACB4A6A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05" w:history="1">
            <w:r w:rsidR="00A8034F" w:rsidRPr="00EC2BE2">
              <w:rPr>
                <w:rStyle w:val="Hiperhivatkozs"/>
              </w:rPr>
              <w:t>VIII.1. Támogatási Szerződés minta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_Toc11685505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51</w:t>
            </w:r>
            <w:r w:rsidR="00A8034F">
              <w:rPr>
                <w:webHidden/>
              </w:rPr>
              <w:fldChar w:fldCharType="end"/>
            </w:r>
          </w:hyperlink>
        </w:p>
        <w:p w14:paraId="23F2A757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06" w:history="1">
            <w:r w:rsidR="00A8034F" w:rsidRPr="00EC2BE2">
              <w:rPr>
                <w:rStyle w:val="Hiperhivatkozs"/>
              </w:rPr>
              <w:t>VIII.2. Az Általános Szerződési Feltételek dokumentuma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_Toc11685506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51</w:t>
            </w:r>
            <w:r w:rsidR="00A8034F">
              <w:rPr>
                <w:webHidden/>
              </w:rPr>
              <w:fldChar w:fldCharType="end"/>
            </w:r>
          </w:hyperlink>
        </w:p>
        <w:p w14:paraId="2F0A7E7C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07" w:history="1">
            <w:r w:rsidR="00A8034F" w:rsidRPr="00EC2BE2">
              <w:rPr>
                <w:rStyle w:val="Hiperhivatkozs"/>
              </w:rPr>
              <w:t>VIII.3. Választható indikátorok listája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_Toc11685507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52</w:t>
            </w:r>
            <w:r w:rsidR="00A8034F">
              <w:rPr>
                <w:webHidden/>
              </w:rPr>
              <w:fldChar w:fldCharType="end"/>
            </w:r>
          </w:hyperlink>
        </w:p>
        <w:p w14:paraId="40A338A2" w14:textId="77777777" w:rsidR="00A8034F" w:rsidRDefault="007D475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08" w:history="1">
            <w:r w:rsidR="00A8034F" w:rsidRPr="00EC2BE2">
              <w:rPr>
                <w:rStyle w:val="Hiperhivatkozs"/>
              </w:rPr>
              <w:t>VIII.4. Pályázat adattartalma</w:t>
            </w:r>
            <w:r w:rsidR="00A8034F">
              <w:rPr>
                <w:webHidden/>
              </w:rPr>
              <w:tab/>
            </w:r>
            <w:r w:rsidR="00A8034F">
              <w:rPr>
                <w:webHidden/>
              </w:rPr>
              <w:fldChar w:fldCharType="begin"/>
            </w:r>
            <w:r w:rsidR="00A8034F">
              <w:rPr>
                <w:webHidden/>
              </w:rPr>
              <w:instrText xml:space="preserve"> PAGEREF _Toc11685508 \h </w:instrText>
            </w:r>
            <w:r w:rsidR="00A8034F">
              <w:rPr>
                <w:webHidden/>
              </w:rPr>
            </w:r>
            <w:r w:rsidR="00A8034F">
              <w:rPr>
                <w:webHidden/>
              </w:rPr>
              <w:fldChar w:fldCharType="separate"/>
            </w:r>
            <w:r w:rsidR="00A8034F">
              <w:rPr>
                <w:webHidden/>
              </w:rPr>
              <w:t>55</w:t>
            </w:r>
            <w:r w:rsidR="00A8034F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459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46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46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10D4325A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678A8">
        <w:rPr>
          <w:rFonts w:ascii="Times New Roman" w:hAnsi="Times New Roman"/>
          <w:sz w:val="24"/>
          <w:szCs w:val="24"/>
        </w:rPr>
        <w:t xml:space="preserve">kérelmek </w:t>
      </w:r>
      <w:r w:rsidRPr="003B2D85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3B2D85">
        <w:rPr>
          <w:rFonts w:ascii="Times New Roman" w:hAnsi="Times New Roman"/>
          <w:b/>
          <w:bCs/>
          <w:sz w:val="24"/>
          <w:szCs w:val="24"/>
        </w:rPr>
        <w:t>9</w:t>
      </w:r>
      <w:r w:rsidRPr="003B2D8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B2D85" w:rsidRPr="003B2D85">
        <w:rPr>
          <w:rFonts w:ascii="Times New Roman" w:hAnsi="Times New Roman"/>
          <w:b/>
          <w:bCs/>
          <w:sz w:val="24"/>
          <w:szCs w:val="24"/>
        </w:rPr>
        <w:t>november</w:t>
      </w:r>
      <w:r w:rsidR="00BB1148" w:rsidRPr="003B2D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2D85" w:rsidRPr="003B2D85">
        <w:rPr>
          <w:rFonts w:ascii="Times New Roman" w:hAnsi="Times New Roman"/>
          <w:b/>
          <w:bCs/>
          <w:sz w:val="24"/>
          <w:szCs w:val="24"/>
        </w:rPr>
        <w:t>7</w:t>
      </w:r>
      <w:r w:rsidR="00BB1148" w:rsidRPr="003B2D85">
        <w:rPr>
          <w:rFonts w:ascii="Times New Roman" w:hAnsi="Times New Roman"/>
          <w:b/>
          <w:bCs/>
          <w:sz w:val="24"/>
          <w:szCs w:val="24"/>
        </w:rPr>
        <w:t>-én</w:t>
      </w:r>
      <w:r w:rsidRPr="003B2D85">
        <w:rPr>
          <w:rFonts w:ascii="Times New Roman" w:hAnsi="Times New Roman"/>
          <w:b/>
          <w:bCs/>
          <w:sz w:val="24"/>
          <w:szCs w:val="24"/>
        </w:rPr>
        <w:t xml:space="preserve"> 12.00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379C6CFB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szerződéskötés várható időpontja: </w:t>
      </w:r>
      <w:r w:rsidR="00A45E59" w:rsidRPr="003B2D85">
        <w:rPr>
          <w:rFonts w:ascii="Times New Roman" w:hAnsi="Times New Roman"/>
          <w:sz w:val="24"/>
          <w:szCs w:val="24"/>
          <w:lang w:eastAsia="fr-BE"/>
        </w:rPr>
        <w:t>2020. I. félév</w:t>
      </w:r>
      <w:r w:rsidRPr="003B2D85">
        <w:rPr>
          <w:rFonts w:ascii="Times New Roman" w:hAnsi="Times New Roman"/>
          <w:sz w:val="24"/>
          <w:szCs w:val="24"/>
          <w:lang w:eastAsia="fr-BE"/>
        </w:rPr>
        <w:t>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46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317C3936" w14:textId="3D4D8C37" w:rsidR="00933F5D" w:rsidRPr="00933F5D" w:rsidRDefault="007D4750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20" w:history="1">
        <w:r w:rsidR="002E240C" w:rsidRPr="002E240C">
          <w:rPr>
            <w:rStyle w:val="Hiperhivatkozs"/>
            <w:rFonts w:ascii="Times New Roman" w:hAnsi="Times New Roman"/>
            <w:i/>
            <w:sz w:val="24"/>
            <w:szCs w:val="24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16654971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B426D">
        <w:rPr>
          <w:rFonts w:ascii="Times New Roman" w:hAnsi="Times New Roman"/>
          <w:b/>
          <w:i/>
          <w:sz w:val="24"/>
          <w:szCs w:val="24"/>
        </w:rPr>
        <w:t>október</w:t>
      </w:r>
      <w:r w:rsidR="00423CB5" w:rsidRPr="00DB426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 w:rsidRPr="00DB426D">
        <w:rPr>
          <w:rFonts w:ascii="Times New Roman" w:hAnsi="Times New Roman"/>
          <w:b/>
          <w:i/>
          <w:sz w:val="24"/>
          <w:szCs w:val="24"/>
        </w:rPr>
        <w:t>2</w:t>
      </w:r>
      <w:r w:rsidR="00DB426D" w:rsidRPr="00DB426D">
        <w:rPr>
          <w:rFonts w:ascii="Times New Roman" w:hAnsi="Times New Roman"/>
          <w:b/>
          <w:i/>
          <w:sz w:val="24"/>
          <w:szCs w:val="24"/>
        </w:rPr>
        <w:t>8</w:t>
      </w:r>
      <w:r w:rsidRPr="00DB426D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lastRenderedPageBreak/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B426D">
        <w:rPr>
          <w:rFonts w:ascii="Times New Roman" w:hAnsi="Times New Roman"/>
          <w:b/>
          <w:i/>
          <w:sz w:val="24"/>
          <w:szCs w:val="24"/>
        </w:rPr>
        <w:t>október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B426D">
        <w:rPr>
          <w:rFonts w:ascii="Times New Roman" w:hAnsi="Times New Roman"/>
          <w:b/>
          <w:i/>
          <w:sz w:val="24"/>
          <w:szCs w:val="24"/>
        </w:rPr>
        <w:t>31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46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46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230A96B3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7A443C">
        <w:rPr>
          <w:rFonts w:ascii="Times New Roman" w:hAnsi="Times New Roman"/>
          <w:b/>
          <w:sz w:val="24"/>
          <w:szCs w:val="24"/>
        </w:rPr>
        <w:t>436</w:t>
      </w:r>
      <w:r w:rsidR="008C5D24" w:rsidRPr="008C5D24">
        <w:rPr>
          <w:rFonts w:ascii="Times New Roman" w:hAnsi="Times New Roman"/>
          <w:b/>
          <w:sz w:val="24"/>
          <w:szCs w:val="24"/>
        </w:rPr>
        <w:t xml:space="preserve"> 000 </w:t>
      </w:r>
      <w:proofErr w:type="spellStart"/>
      <w:r w:rsidR="008C5D24" w:rsidRPr="008C5D24">
        <w:rPr>
          <w:rFonts w:ascii="Times New Roman" w:hAnsi="Times New Roman"/>
          <w:b/>
          <w:sz w:val="24"/>
          <w:szCs w:val="24"/>
        </w:rPr>
        <w:t>000</w:t>
      </w:r>
      <w:proofErr w:type="spellEnd"/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7D4750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3239170D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9C6AD9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0FC8A64F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</w:t>
      </w:r>
      <w:r w:rsidR="008C5D24">
        <w:rPr>
          <w:rFonts w:ascii="Times New Roman" w:hAnsi="Times New Roman"/>
          <w:sz w:val="24"/>
          <w:szCs w:val="24"/>
        </w:rPr>
        <w:t xml:space="preserve"> </w:t>
      </w:r>
      <w:r w:rsidR="007A443C">
        <w:rPr>
          <w:rFonts w:ascii="Times New Roman" w:hAnsi="Times New Roman"/>
          <w:b/>
          <w:sz w:val="24"/>
          <w:szCs w:val="24"/>
        </w:rPr>
        <w:t>50</w:t>
      </w:r>
      <w:r w:rsidR="008C5D24" w:rsidRPr="008C5D24">
        <w:rPr>
          <w:rFonts w:ascii="Times New Roman" w:hAnsi="Times New Roman"/>
          <w:b/>
          <w:sz w:val="24"/>
          <w:szCs w:val="24"/>
        </w:rPr>
        <w:t> 000 </w:t>
      </w:r>
      <w:proofErr w:type="spellStart"/>
      <w:r w:rsidR="008C5D24" w:rsidRPr="008C5D24">
        <w:rPr>
          <w:rFonts w:ascii="Times New Roman" w:hAnsi="Times New Roman"/>
          <w:b/>
          <w:sz w:val="24"/>
          <w:szCs w:val="24"/>
        </w:rPr>
        <w:t>000</w:t>
      </w:r>
      <w:proofErr w:type="spellEnd"/>
      <w:r w:rsidR="008C5D24">
        <w:rPr>
          <w:rFonts w:ascii="Times New Roman" w:hAnsi="Times New Roman"/>
          <w:sz w:val="24"/>
          <w:szCs w:val="24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</w:rPr>
        <w:t>HUF</w:t>
      </w:r>
    </w:p>
    <w:p w14:paraId="659158EF" w14:textId="15FD2890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7A443C">
        <w:rPr>
          <w:rFonts w:ascii="Times New Roman" w:hAnsi="Times New Roman"/>
          <w:b/>
          <w:sz w:val="24"/>
          <w:szCs w:val="24"/>
          <w:lang w:eastAsia="fr-BE"/>
        </w:rPr>
        <w:t>436</w:t>
      </w:r>
      <w:r w:rsidR="008C5D24" w:rsidRPr="008C5D24">
        <w:rPr>
          <w:rFonts w:ascii="Times New Roman" w:hAnsi="Times New Roman"/>
          <w:b/>
          <w:sz w:val="24"/>
          <w:szCs w:val="24"/>
          <w:lang w:eastAsia="fr-BE"/>
        </w:rPr>
        <w:t> 000</w:t>
      </w:r>
      <w:r w:rsidR="008C5D24">
        <w:rPr>
          <w:rFonts w:ascii="Times New Roman" w:hAnsi="Times New Roman"/>
          <w:b/>
          <w:sz w:val="24"/>
          <w:szCs w:val="24"/>
          <w:lang w:eastAsia="fr-BE"/>
        </w:rPr>
        <w:t> </w:t>
      </w:r>
      <w:proofErr w:type="spellStart"/>
      <w:r w:rsidR="008C5D24" w:rsidRPr="008C5D24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8C5D24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465"/>
      <w:r w:rsidRPr="00526488">
        <w:rPr>
          <w:rFonts w:ascii="Times New Roman" w:hAnsi="Times New Roman"/>
          <w:color w:val="auto"/>
        </w:rPr>
        <w:lastRenderedPageBreak/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46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46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08E077A4" w14:textId="77777777" w:rsidR="007136CC" w:rsidRDefault="00690FEB" w:rsidP="00690FEB">
      <w:pPr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  <w:u w:val="single"/>
        </w:rPr>
        <w:t>Az intézkedés célja:</w:t>
      </w:r>
      <w:r w:rsidRPr="00690FEB">
        <w:rPr>
          <w:rFonts w:ascii="Times New Roman" w:hAnsi="Times New Roman"/>
          <w:sz w:val="24"/>
          <w:szCs w:val="24"/>
        </w:rPr>
        <w:t xml:space="preserve"> </w:t>
      </w:r>
    </w:p>
    <w:p w14:paraId="648069F1" w14:textId="265A7D2F" w:rsidR="00690FEB" w:rsidRPr="00690FEB" w:rsidRDefault="00690FEB" w:rsidP="007136CC">
      <w:pPr>
        <w:jc w:val="both"/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A felderítési, műveleti, elemzési és laboratóriumi eszközrendszer bővítése</w:t>
      </w:r>
    </w:p>
    <w:p w14:paraId="2D6D3C16" w14:textId="77777777" w:rsidR="00690FEB" w:rsidRPr="00690FEB" w:rsidRDefault="00690FEB" w:rsidP="007136CC">
      <w:pPr>
        <w:pStyle w:val="Listaszerbekezds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a szakpolitikai ciklushoz nemzeti szinten releváns EMPACT prioritásterületeihez ka</w:t>
      </w:r>
      <w:r w:rsidRPr="00690FEB">
        <w:rPr>
          <w:rFonts w:ascii="Times New Roman" w:hAnsi="Times New Roman"/>
          <w:sz w:val="24"/>
          <w:szCs w:val="24"/>
        </w:rPr>
        <w:t>p</w:t>
      </w:r>
      <w:r w:rsidRPr="00690FEB">
        <w:rPr>
          <w:rFonts w:ascii="Times New Roman" w:hAnsi="Times New Roman"/>
          <w:sz w:val="24"/>
          <w:szCs w:val="24"/>
        </w:rPr>
        <w:t>csolódó súlyos és szervezett bűncselekmények felderítésével és nyomozásával fogla</w:t>
      </w:r>
      <w:r w:rsidRPr="00690FEB">
        <w:rPr>
          <w:rFonts w:ascii="Times New Roman" w:hAnsi="Times New Roman"/>
          <w:sz w:val="24"/>
          <w:szCs w:val="24"/>
        </w:rPr>
        <w:t>l</w:t>
      </w:r>
      <w:r w:rsidRPr="00690FEB">
        <w:rPr>
          <w:rFonts w:ascii="Times New Roman" w:hAnsi="Times New Roman"/>
          <w:sz w:val="24"/>
          <w:szCs w:val="24"/>
        </w:rPr>
        <w:t>kozó egységeknél;</w:t>
      </w:r>
    </w:p>
    <w:p w14:paraId="52A6E34B" w14:textId="77777777" w:rsidR="00690FEB" w:rsidRPr="00690FEB" w:rsidRDefault="00690FEB" w:rsidP="007136CC">
      <w:pPr>
        <w:pStyle w:val="Listaszerbekezds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a fenti tevékenységeket horizontális, szolgáltató-támogató funkciók ellátásával vagy különleges kriminalisztikai szaktudással és speciális bűnügyi szakismerettel segítő eg</w:t>
      </w:r>
      <w:r w:rsidRPr="00690FEB">
        <w:rPr>
          <w:rFonts w:ascii="Times New Roman" w:hAnsi="Times New Roman"/>
          <w:sz w:val="24"/>
          <w:szCs w:val="24"/>
        </w:rPr>
        <w:t>y</w:t>
      </w:r>
      <w:r w:rsidRPr="00690FEB">
        <w:rPr>
          <w:rFonts w:ascii="Times New Roman" w:hAnsi="Times New Roman"/>
          <w:sz w:val="24"/>
          <w:szCs w:val="24"/>
        </w:rPr>
        <w:t xml:space="preserve">ségeknél; </w:t>
      </w:r>
    </w:p>
    <w:p w14:paraId="676AA323" w14:textId="77777777" w:rsidR="00690FEB" w:rsidRPr="00690FEB" w:rsidRDefault="00690FEB" w:rsidP="007136CC">
      <w:pPr>
        <w:pStyle w:val="Listaszerbekezds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a súlyos és szervezett bűncselekmények elkövetése miatt folytatott eljárásokkal párh</w:t>
      </w:r>
      <w:r w:rsidRPr="00690FEB">
        <w:rPr>
          <w:rFonts w:ascii="Times New Roman" w:hAnsi="Times New Roman"/>
          <w:sz w:val="24"/>
          <w:szCs w:val="24"/>
        </w:rPr>
        <w:t>u</w:t>
      </w:r>
      <w:r w:rsidRPr="00690FEB">
        <w:rPr>
          <w:rFonts w:ascii="Times New Roman" w:hAnsi="Times New Roman"/>
          <w:sz w:val="24"/>
          <w:szCs w:val="24"/>
        </w:rPr>
        <w:t>zamosan megindított gazdasági-pénzügyi nyomozásokkal, vagyon-visszaszerzéssel foglalkozó egységeknél;</w:t>
      </w:r>
    </w:p>
    <w:p w14:paraId="01016F54" w14:textId="77777777" w:rsidR="00690FEB" w:rsidRPr="00690FEB" w:rsidRDefault="00690FEB" w:rsidP="007136CC">
      <w:pPr>
        <w:pStyle w:val="Listaszerbekezds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a rendészeti és nemzetközi jelleggel érintett hivatali korrupciós jellegű bűncselekm</w:t>
      </w:r>
      <w:r w:rsidRPr="00690FEB">
        <w:rPr>
          <w:rFonts w:ascii="Times New Roman" w:hAnsi="Times New Roman"/>
          <w:sz w:val="24"/>
          <w:szCs w:val="24"/>
        </w:rPr>
        <w:t>é</w:t>
      </w:r>
      <w:r w:rsidRPr="00690FEB">
        <w:rPr>
          <w:rFonts w:ascii="Times New Roman" w:hAnsi="Times New Roman"/>
          <w:sz w:val="24"/>
          <w:szCs w:val="24"/>
        </w:rPr>
        <w:t>nyek felderítéséért és nyomozásáért felelős egységeknél;</w:t>
      </w:r>
    </w:p>
    <w:p w14:paraId="2F18956D" w14:textId="77777777" w:rsidR="00690FEB" w:rsidRPr="00690FEB" w:rsidRDefault="00690FEB" w:rsidP="007136CC">
      <w:pPr>
        <w:pStyle w:val="Listaszerbekezds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a terrorizmus elleni fellépésben érintett egységeknél.</w:t>
      </w:r>
    </w:p>
    <w:p w14:paraId="11C99ADA" w14:textId="77777777" w:rsidR="00690FEB" w:rsidRPr="00690FEB" w:rsidRDefault="00690FEB" w:rsidP="00690FEB">
      <w:pPr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 xml:space="preserve">Releváns szakterületek: </w:t>
      </w:r>
    </w:p>
    <w:p w14:paraId="7E465430" w14:textId="77777777" w:rsidR="00690FEB" w:rsidRPr="00690FEB" w:rsidRDefault="00690FEB" w:rsidP="00690FEB">
      <w:pPr>
        <w:pStyle w:val="Listaszerbekezds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 xml:space="preserve">terrorizmus, </w:t>
      </w:r>
      <w:proofErr w:type="spellStart"/>
      <w:r w:rsidRPr="00690FEB">
        <w:rPr>
          <w:rFonts w:ascii="Times New Roman" w:hAnsi="Times New Roman"/>
          <w:sz w:val="24"/>
          <w:szCs w:val="24"/>
        </w:rPr>
        <w:t>radikalizáció</w:t>
      </w:r>
      <w:proofErr w:type="spellEnd"/>
      <w:r w:rsidRPr="00690FEB">
        <w:rPr>
          <w:rFonts w:ascii="Times New Roman" w:hAnsi="Times New Roman"/>
          <w:sz w:val="24"/>
          <w:szCs w:val="24"/>
        </w:rPr>
        <w:t xml:space="preserve">, extrémizmus, polarizáció; </w:t>
      </w:r>
    </w:p>
    <w:p w14:paraId="6B18C213" w14:textId="77777777" w:rsidR="00690FEB" w:rsidRPr="00690FEB" w:rsidRDefault="00690FEB" w:rsidP="00690FEB">
      <w:pPr>
        <w:pStyle w:val="Listaszerbekezds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 xml:space="preserve">kábítószer-kereskedelem, </w:t>
      </w:r>
      <w:proofErr w:type="spellStart"/>
      <w:r w:rsidRPr="00690FEB">
        <w:rPr>
          <w:rFonts w:ascii="Times New Roman" w:hAnsi="Times New Roman"/>
          <w:sz w:val="24"/>
          <w:szCs w:val="24"/>
        </w:rPr>
        <w:t>-csempészet</w:t>
      </w:r>
      <w:proofErr w:type="spellEnd"/>
      <w:r w:rsidRPr="00690FEB">
        <w:rPr>
          <w:rFonts w:ascii="Times New Roman" w:hAnsi="Times New Roman"/>
          <w:sz w:val="24"/>
          <w:szCs w:val="24"/>
        </w:rPr>
        <w:t xml:space="preserve">; </w:t>
      </w:r>
    </w:p>
    <w:p w14:paraId="2FDA50DC" w14:textId="77777777" w:rsidR="00690FEB" w:rsidRPr="00690FEB" w:rsidRDefault="00690FEB" w:rsidP="00690FEB">
      <w:pPr>
        <w:pStyle w:val="Listaszerbekezds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 xml:space="preserve">fegyverkereskedelem, </w:t>
      </w:r>
      <w:proofErr w:type="spellStart"/>
      <w:r w:rsidRPr="00690FEB">
        <w:rPr>
          <w:rFonts w:ascii="Times New Roman" w:hAnsi="Times New Roman"/>
          <w:sz w:val="24"/>
          <w:szCs w:val="24"/>
        </w:rPr>
        <w:t>-csempészet</w:t>
      </w:r>
      <w:proofErr w:type="spellEnd"/>
      <w:r w:rsidRPr="00690FEB">
        <w:rPr>
          <w:rFonts w:ascii="Times New Roman" w:hAnsi="Times New Roman"/>
          <w:sz w:val="24"/>
          <w:szCs w:val="24"/>
        </w:rPr>
        <w:t>;</w:t>
      </w:r>
    </w:p>
    <w:p w14:paraId="655CC86F" w14:textId="77777777" w:rsidR="00690FEB" w:rsidRPr="00690FEB" w:rsidRDefault="00690FEB" w:rsidP="00690FEB">
      <w:pPr>
        <w:pStyle w:val="Listaszerbekezds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 xml:space="preserve">emberkereskedelem; </w:t>
      </w:r>
    </w:p>
    <w:p w14:paraId="3382333A" w14:textId="77777777" w:rsidR="00690FEB" w:rsidRPr="00690FEB" w:rsidRDefault="00690FEB" w:rsidP="00690FEB">
      <w:pPr>
        <w:pStyle w:val="Listaszerbekezds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pénzmosás;</w:t>
      </w:r>
    </w:p>
    <w:p w14:paraId="24F3F6F0" w14:textId="77777777" w:rsidR="00690FEB" w:rsidRPr="00690FEB" w:rsidRDefault="00690FEB" w:rsidP="00690FEB">
      <w:pPr>
        <w:pStyle w:val="Listaszerbekezds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gazdasági-pénzügyi nyomozások, vagyon-visszaszerzés;</w:t>
      </w:r>
    </w:p>
    <w:p w14:paraId="3E5517E0" w14:textId="77777777" w:rsidR="00690FEB" w:rsidRPr="00690FEB" w:rsidRDefault="00690FEB" w:rsidP="00690FEB">
      <w:pPr>
        <w:pStyle w:val="Listaszerbekezds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korrupció a rendvédelem területén, illetve nemzetközi jelleggel érintett hivatali korru</w:t>
      </w:r>
      <w:r w:rsidRPr="00690FEB">
        <w:rPr>
          <w:rFonts w:ascii="Times New Roman" w:hAnsi="Times New Roman"/>
          <w:sz w:val="24"/>
          <w:szCs w:val="24"/>
        </w:rPr>
        <w:t>p</w:t>
      </w:r>
      <w:r w:rsidRPr="00690FEB">
        <w:rPr>
          <w:rFonts w:ascii="Times New Roman" w:hAnsi="Times New Roman"/>
          <w:sz w:val="24"/>
          <w:szCs w:val="24"/>
        </w:rPr>
        <w:t xml:space="preserve">ció; </w:t>
      </w:r>
    </w:p>
    <w:p w14:paraId="6181B92D" w14:textId="77777777" w:rsidR="00690FEB" w:rsidRPr="00690FEB" w:rsidRDefault="00690FEB" w:rsidP="00690FEB">
      <w:pPr>
        <w:pStyle w:val="Listaszerbekezds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fizetőeszközök hamisítása – beleértve: készpénz-helyettesítő fizetési eszközzel vissz</w:t>
      </w:r>
      <w:r w:rsidRPr="00690FEB">
        <w:rPr>
          <w:rFonts w:ascii="Times New Roman" w:hAnsi="Times New Roman"/>
          <w:sz w:val="24"/>
          <w:szCs w:val="24"/>
        </w:rPr>
        <w:t>a</w:t>
      </w:r>
      <w:r w:rsidRPr="00690FEB">
        <w:rPr>
          <w:rFonts w:ascii="Times New Roman" w:hAnsi="Times New Roman"/>
          <w:sz w:val="24"/>
          <w:szCs w:val="24"/>
        </w:rPr>
        <w:t xml:space="preserve">élés;  </w:t>
      </w:r>
    </w:p>
    <w:p w14:paraId="48A9D428" w14:textId="77777777" w:rsidR="00690FEB" w:rsidRPr="00690FEB" w:rsidRDefault="00690FEB" w:rsidP="00690FEB">
      <w:pPr>
        <w:pStyle w:val="Listaszerbekezds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proofErr w:type="spellStart"/>
      <w:r w:rsidRPr="00690FEB">
        <w:rPr>
          <w:rFonts w:ascii="Times New Roman" w:hAnsi="Times New Roman"/>
          <w:sz w:val="24"/>
          <w:szCs w:val="24"/>
        </w:rPr>
        <w:t>cybercrime</w:t>
      </w:r>
      <w:proofErr w:type="spellEnd"/>
      <w:r w:rsidRPr="00690FEB">
        <w:rPr>
          <w:rFonts w:ascii="Times New Roman" w:hAnsi="Times New Roman"/>
          <w:sz w:val="24"/>
          <w:szCs w:val="24"/>
        </w:rPr>
        <w:t xml:space="preserve"> – beleértve: </w:t>
      </w:r>
      <w:proofErr w:type="spellStart"/>
      <w:r w:rsidRPr="00690FEB">
        <w:rPr>
          <w:rFonts w:ascii="Times New Roman" w:hAnsi="Times New Roman"/>
          <w:sz w:val="24"/>
          <w:szCs w:val="24"/>
        </w:rPr>
        <w:t>kiberbiztonság</w:t>
      </w:r>
      <w:proofErr w:type="spellEnd"/>
      <w:r w:rsidRPr="00690FEB">
        <w:rPr>
          <w:rFonts w:ascii="Times New Roman" w:hAnsi="Times New Roman"/>
          <w:sz w:val="24"/>
          <w:szCs w:val="24"/>
        </w:rPr>
        <w:t>, gyermekek szexuális kizsákmányolása;</w:t>
      </w:r>
    </w:p>
    <w:p w14:paraId="56078F64" w14:textId="7A6BC4CD" w:rsidR="00690FEB" w:rsidRPr="00690FEB" w:rsidRDefault="00690FEB" w:rsidP="00690FEB">
      <w:pPr>
        <w:pStyle w:val="Listaszerbekezds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 xml:space="preserve">szervezett bűnözés egyéb formái – beleértve: embercsempészet, MTIC és jövedéki adócsalás, környezet és a természet elleni bűncselekmények. </w:t>
      </w:r>
    </w:p>
    <w:p w14:paraId="6AF16033" w14:textId="77777777" w:rsidR="00690FEB" w:rsidRPr="007136CC" w:rsidRDefault="00690FEB" w:rsidP="007136CC">
      <w:pPr>
        <w:jc w:val="both"/>
        <w:rPr>
          <w:rFonts w:ascii="Times New Roman" w:hAnsi="Times New Roman"/>
          <w:sz w:val="24"/>
          <w:szCs w:val="24"/>
        </w:rPr>
      </w:pPr>
      <w:r w:rsidRPr="007136CC">
        <w:rPr>
          <w:rFonts w:ascii="Times New Roman" w:hAnsi="Times New Roman"/>
          <w:sz w:val="24"/>
          <w:szCs w:val="24"/>
        </w:rPr>
        <w:t>Az intézkedés céljának elérése érdekében a nyomozó hatóságok esetében elvárás, hogy a fe</w:t>
      </w:r>
      <w:r w:rsidRPr="007136CC">
        <w:rPr>
          <w:rFonts w:ascii="Times New Roman" w:hAnsi="Times New Roman"/>
          <w:sz w:val="24"/>
          <w:szCs w:val="24"/>
        </w:rPr>
        <w:t>j</w:t>
      </w:r>
      <w:r w:rsidRPr="007136CC">
        <w:rPr>
          <w:rFonts w:ascii="Times New Roman" w:hAnsi="Times New Roman"/>
          <w:sz w:val="24"/>
          <w:szCs w:val="24"/>
        </w:rPr>
        <w:t xml:space="preserve">lesztéssel érintett valamennyi szakterületet illetően legkésőbb a projekt lezárását követő évben </w:t>
      </w:r>
      <w:r w:rsidRPr="007136CC">
        <w:rPr>
          <w:rFonts w:ascii="Times New Roman" w:hAnsi="Times New Roman"/>
          <w:sz w:val="24"/>
          <w:szCs w:val="24"/>
        </w:rPr>
        <w:lastRenderedPageBreak/>
        <w:t xml:space="preserve">sor kerüljön a beszerzett eszközök legalább egy JIT és/vagy EMPACT műveletben történő használatára. </w:t>
      </w:r>
    </w:p>
    <w:p w14:paraId="4B98E05F" w14:textId="77777777" w:rsidR="00690FEB" w:rsidRPr="00690FEB" w:rsidRDefault="00690FEB" w:rsidP="00690FEB">
      <w:pPr>
        <w:rPr>
          <w:rFonts w:ascii="Times New Roman" w:hAnsi="Times New Roman"/>
          <w:sz w:val="24"/>
          <w:szCs w:val="24"/>
          <w:u w:val="single"/>
        </w:rPr>
      </w:pPr>
      <w:r w:rsidRPr="00690FEB">
        <w:rPr>
          <w:rFonts w:ascii="Times New Roman" w:hAnsi="Times New Roman"/>
          <w:sz w:val="24"/>
          <w:szCs w:val="24"/>
          <w:u w:val="single"/>
        </w:rPr>
        <w:t>E célok elérése érdekében különösen az alábbi tevékenységek megvalósítása támogatható:</w:t>
      </w:r>
    </w:p>
    <w:p w14:paraId="42E48410" w14:textId="77777777" w:rsidR="00690FEB" w:rsidRPr="00690FEB" w:rsidRDefault="00690FEB" w:rsidP="007136CC">
      <w:pPr>
        <w:pStyle w:val="Listaszerbekezds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speciális felderítési, nyomozati, műveleti, operatív technikai és IT technikai eszközök és rendszerek beszerzése szakértői támogatás igénybevételével, valamint az eszközök használatának megismertetését célzó oktatásokon történő részvétellel;</w:t>
      </w:r>
    </w:p>
    <w:p w14:paraId="53AB34B3" w14:textId="77777777" w:rsidR="00690FEB" w:rsidRPr="00690FEB" w:rsidRDefault="00690FEB" w:rsidP="007136CC">
      <w:pPr>
        <w:pStyle w:val="Listaszerbekezds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laboratóriumi (beleértve a mobil laboratóriumokat is) eszközök, felszerelések és kés</w:t>
      </w:r>
      <w:r w:rsidRPr="00690FEB">
        <w:rPr>
          <w:rFonts w:ascii="Times New Roman" w:hAnsi="Times New Roman"/>
          <w:sz w:val="24"/>
          <w:szCs w:val="24"/>
        </w:rPr>
        <w:t>z</w:t>
      </w:r>
      <w:r w:rsidRPr="00690FEB">
        <w:rPr>
          <w:rFonts w:ascii="Times New Roman" w:hAnsi="Times New Roman"/>
          <w:sz w:val="24"/>
          <w:szCs w:val="24"/>
        </w:rPr>
        <w:t>letek beszerzése szakértői támogatás igénybevételével, valamint az eszközök használ</w:t>
      </w:r>
      <w:r w:rsidRPr="00690FEB">
        <w:rPr>
          <w:rFonts w:ascii="Times New Roman" w:hAnsi="Times New Roman"/>
          <w:sz w:val="24"/>
          <w:szCs w:val="24"/>
        </w:rPr>
        <w:t>a</w:t>
      </w:r>
      <w:r w:rsidRPr="00690FEB">
        <w:rPr>
          <w:rFonts w:ascii="Times New Roman" w:hAnsi="Times New Roman"/>
          <w:sz w:val="24"/>
          <w:szCs w:val="24"/>
        </w:rPr>
        <w:t>tának megismertetését célzó oktatásokon történő részvétellel;</w:t>
      </w:r>
    </w:p>
    <w:p w14:paraId="6A119D87" w14:textId="77777777" w:rsidR="00690FEB" w:rsidRPr="00690FEB" w:rsidRDefault="00690FEB" w:rsidP="007136CC">
      <w:pPr>
        <w:pStyle w:val="Listaszerbekezds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elemzési-kockázatelemzési eszközök és rendszerek beszerzése szakértői támogatás igénybevételével, valamint az eszközök használatának megismertetését célzó oktatás</w:t>
      </w:r>
      <w:r w:rsidRPr="00690FEB">
        <w:rPr>
          <w:rFonts w:ascii="Times New Roman" w:hAnsi="Times New Roman"/>
          <w:sz w:val="24"/>
          <w:szCs w:val="24"/>
        </w:rPr>
        <w:t>o</w:t>
      </w:r>
      <w:r w:rsidRPr="00690FEB">
        <w:rPr>
          <w:rFonts w:ascii="Times New Roman" w:hAnsi="Times New Roman"/>
          <w:sz w:val="24"/>
          <w:szCs w:val="24"/>
        </w:rPr>
        <w:t>kon történő részvétellel;</w:t>
      </w:r>
    </w:p>
    <w:p w14:paraId="69BDB999" w14:textId="7BB82107" w:rsidR="003E4A9F" w:rsidRPr="00690FEB" w:rsidRDefault="00690FEB" w:rsidP="007136CC">
      <w:pPr>
        <w:pStyle w:val="Listaszerbekezds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690FEB">
        <w:rPr>
          <w:rFonts w:ascii="Times New Roman" w:hAnsi="Times New Roman"/>
          <w:sz w:val="24"/>
          <w:szCs w:val="24"/>
        </w:rPr>
        <w:t>rendelkezésre álló járművek speciális eszközökkel történő felszerelése, átalakítása, t</w:t>
      </w:r>
      <w:r w:rsidRPr="00690FEB">
        <w:rPr>
          <w:rFonts w:ascii="Times New Roman" w:hAnsi="Times New Roman"/>
          <w:sz w:val="24"/>
          <w:szCs w:val="24"/>
        </w:rPr>
        <w:t>o</w:t>
      </w:r>
      <w:r w:rsidRPr="00690FEB">
        <w:rPr>
          <w:rFonts w:ascii="Times New Roman" w:hAnsi="Times New Roman"/>
          <w:sz w:val="24"/>
          <w:szCs w:val="24"/>
        </w:rPr>
        <w:t>vábbá mobil műveletirányító központ beszerzése.</w:t>
      </w:r>
    </w:p>
    <w:p w14:paraId="386AB095" w14:textId="7F3CC4FC" w:rsidR="0032087D" w:rsidRPr="007136CC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36CC">
        <w:rPr>
          <w:rFonts w:ascii="Times New Roman" w:hAnsi="Times New Roman"/>
          <w:sz w:val="24"/>
          <w:szCs w:val="24"/>
          <w:u w:val="single"/>
        </w:rPr>
        <w:t>A támogatható intézkedés megvalósításával a Felelős Hatóság az alábbi indikátor teljesítését tűzte ki célul: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608"/>
        <w:gridCol w:w="2270"/>
        <w:gridCol w:w="1667"/>
      </w:tblGrid>
      <w:tr w:rsidR="00690FEB" w:rsidRPr="00D00311" w14:paraId="0EBABDEE" w14:textId="77777777" w:rsidTr="001D2020">
        <w:tc>
          <w:tcPr>
            <w:tcW w:w="635" w:type="dxa"/>
            <w:shd w:val="clear" w:color="auto" w:fill="D9D9D9"/>
          </w:tcPr>
          <w:p w14:paraId="2A6CBCE7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1.</w:t>
            </w:r>
          </w:p>
        </w:tc>
        <w:tc>
          <w:tcPr>
            <w:tcW w:w="4608" w:type="dxa"/>
            <w:shd w:val="clear" w:color="auto" w:fill="D9D9D9"/>
            <w:vAlign w:val="center"/>
          </w:tcPr>
          <w:p w14:paraId="2897B1DA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 w:rsidRPr="00D00311">
              <w:rPr>
                <w:rFonts w:ascii="Times New Roman" w:hAnsi="Times New Roman"/>
                <w:b/>
                <w:lang w:eastAsia="hu-HU"/>
              </w:rPr>
              <w:t>Indikátor megnevezése</w:t>
            </w:r>
          </w:p>
        </w:tc>
        <w:tc>
          <w:tcPr>
            <w:tcW w:w="2270" w:type="dxa"/>
            <w:shd w:val="clear" w:color="auto" w:fill="D9D9D9"/>
            <w:vAlign w:val="center"/>
          </w:tcPr>
          <w:p w14:paraId="5E8EBA0E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 w:rsidRPr="00D00311">
              <w:rPr>
                <w:rFonts w:ascii="Times New Roman" w:hAnsi="Times New Roman"/>
                <w:b/>
                <w:lang w:eastAsia="hu-HU"/>
              </w:rPr>
              <w:t>Mértékegység</w:t>
            </w:r>
          </w:p>
        </w:tc>
        <w:tc>
          <w:tcPr>
            <w:tcW w:w="1667" w:type="dxa"/>
            <w:shd w:val="clear" w:color="auto" w:fill="D9D9D9"/>
            <w:vAlign w:val="center"/>
          </w:tcPr>
          <w:p w14:paraId="24849E54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 w:rsidRPr="00D00311">
              <w:rPr>
                <w:rFonts w:ascii="Times New Roman" w:hAnsi="Times New Roman"/>
                <w:b/>
                <w:lang w:eastAsia="hu-HU"/>
              </w:rPr>
              <w:t>Célérték</w:t>
            </w:r>
          </w:p>
        </w:tc>
      </w:tr>
      <w:tr w:rsidR="00690FEB" w:rsidRPr="00D00311" w14:paraId="506007C0" w14:textId="77777777" w:rsidTr="001D2020">
        <w:tc>
          <w:tcPr>
            <w:tcW w:w="635" w:type="dxa"/>
            <w:shd w:val="clear" w:color="auto" w:fill="FFFFFF"/>
          </w:tcPr>
          <w:p w14:paraId="2D151CE4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2.</w:t>
            </w:r>
          </w:p>
        </w:tc>
        <w:tc>
          <w:tcPr>
            <w:tcW w:w="4608" w:type="dxa"/>
            <w:shd w:val="clear" w:color="auto" w:fill="FFFFFF"/>
          </w:tcPr>
          <w:p w14:paraId="1E0230F8" w14:textId="77777777" w:rsidR="00690FEB" w:rsidRPr="00D00311" w:rsidRDefault="00690FEB" w:rsidP="001D2020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Nemzetközi műveletek száma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51D6146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6329A9B2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60</w:t>
            </w:r>
          </w:p>
        </w:tc>
      </w:tr>
      <w:tr w:rsidR="00690FEB" w:rsidRPr="00D00311" w14:paraId="28623F29" w14:textId="77777777" w:rsidTr="001D2020">
        <w:tc>
          <w:tcPr>
            <w:tcW w:w="635" w:type="dxa"/>
            <w:shd w:val="clear" w:color="auto" w:fill="FFFFFF"/>
          </w:tcPr>
          <w:p w14:paraId="0F1634C8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3.</w:t>
            </w:r>
          </w:p>
        </w:tc>
        <w:tc>
          <w:tcPr>
            <w:tcW w:w="4608" w:type="dxa"/>
            <w:shd w:val="clear" w:color="auto" w:fill="FFFFFF"/>
          </w:tcPr>
          <w:p w14:paraId="61F3A2F0" w14:textId="77777777" w:rsidR="00690FEB" w:rsidRPr="00D00311" w:rsidRDefault="00690FEB" w:rsidP="001D2020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 xml:space="preserve">Párhuzamos gazdasági-pénzügyi eljárások száma 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ABEB990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61E1A420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50</w:t>
            </w:r>
          </w:p>
        </w:tc>
      </w:tr>
      <w:tr w:rsidR="00690FEB" w:rsidRPr="00D00311" w14:paraId="26BC6910" w14:textId="77777777" w:rsidTr="001D2020">
        <w:tc>
          <w:tcPr>
            <w:tcW w:w="635" w:type="dxa"/>
            <w:shd w:val="clear" w:color="auto" w:fill="FFFFFF"/>
          </w:tcPr>
          <w:p w14:paraId="5C1DD212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4.</w:t>
            </w:r>
          </w:p>
        </w:tc>
        <w:tc>
          <w:tcPr>
            <w:tcW w:w="4608" w:type="dxa"/>
            <w:shd w:val="clear" w:color="auto" w:fill="FFFFFF"/>
          </w:tcPr>
          <w:p w14:paraId="7F10F5FF" w14:textId="77777777" w:rsidR="00690FEB" w:rsidRPr="00D00311" w:rsidRDefault="00690FEB" w:rsidP="001D2020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Megrendelések számának növekedése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8BA2256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%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27C409E5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5</w:t>
            </w:r>
          </w:p>
        </w:tc>
      </w:tr>
      <w:tr w:rsidR="00690FEB" w:rsidRPr="00D00311" w14:paraId="7C5F3E1C" w14:textId="77777777" w:rsidTr="001D2020">
        <w:tc>
          <w:tcPr>
            <w:tcW w:w="635" w:type="dxa"/>
            <w:shd w:val="clear" w:color="auto" w:fill="FFFFFF"/>
          </w:tcPr>
          <w:p w14:paraId="2517609B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5.</w:t>
            </w:r>
          </w:p>
        </w:tc>
        <w:tc>
          <w:tcPr>
            <w:tcW w:w="4608" w:type="dxa"/>
            <w:shd w:val="clear" w:color="auto" w:fill="FFFFFF"/>
          </w:tcPr>
          <w:p w14:paraId="0CE1F354" w14:textId="77777777" w:rsidR="00690FEB" w:rsidRPr="00D00311" w:rsidRDefault="00690FEB" w:rsidP="001D2020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Elemzett adatok számának növekedése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34088E6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%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6DD0BFE9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10</w:t>
            </w:r>
          </w:p>
        </w:tc>
      </w:tr>
      <w:tr w:rsidR="00690FEB" w:rsidRPr="00D00311" w14:paraId="15911203" w14:textId="77777777" w:rsidTr="001D2020">
        <w:tc>
          <w:tcPr>
            <w:tcW w:w="635" w:type="dxa"/>
            <w:shd w:val="clear" w:color="auto" w:fill="FFFFFF"/>
          </w:tcPr>
          <w:p w14:paraId="6CDEAABC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6.</w:t>
            </w:r>
          </w:p>
        </w:tc>
        <w:tc>
          <w:tcPr>
            <w:tcW w:w="4608" w:type="dxa"/>
            <w:shd w:val="clear" w:color="auto" w:fill="FFFFFF"/>
          </w:tcPr>
          <w:p w14:paraId="3548E429" w14:textId="77777777" w:rsidR="00690FEB" w:rsidRPr="00D00311" w:rsidRDefault="00690FEB" w:rsidP="001D2020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Laboratóriumi technikai eszközök alkalmazása</w:t>
            </w:r>
            <w:r w:rsidRPr="00D00311">
              <w:rPr>
                <w:rFonts w:ascii="Times New Roman" w:hAnsi="Times New Roman"/>
                <w:lang w:eastAsia="hu-HU"/>
              </w:rPr>
              <w:t>i</w:t>
            </w:r>
            <w:r w:rsidRPr="00D00311">
              <w:rPr>
                <w:rFonts w:ascii="Times New Roman" w:hAnsi="Times New Roman"/>
                <w:lang w:eastAsia="hu-HU"/>
              </w:rPr>
              <w:t>nak száma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865C818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03BA1A56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10 000</w:t>
            </w:r>
          </w:p>
        </w:tc>
      </w:tr>
      <w:tr w:rsidR="00690FEB" w:rsidRPr="00D00311" w14:paraId="7BE6F9A2" w14:textId="77777777" w:rsidTr="001D2020">
        <w:tc>
          <w:tcPr>
            <w:tcW w:w="635" w:type="dxa"/>
            <w:shd w:val="clear" w:color="auto" w:fill="FFFFFF"/>
          </w:tcPr>
          <w:p w14:paraId="796CBC7A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7.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5B8787C9" w14:textId="77777777" w:rsidR="00690FEB" w:rsidRPr="00D00311" w:rsidRDefault="00690FEB" w:rsidP="001D2020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 xml:space="preserve">Vizsgálati idő csökkenése 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9710069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%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7F29A68A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20</w:t>
            </w:r>
          </w:p>
        </w:tc>
      </w:tr>
      <w:tr w:rsidR="00690FEB" w:rsidRPr="00D00311" w14:paraId="6782778F" w14:textId="77777777" w:rsidTr="001D2020">
        <w:tc>
          <w:tcPr>
            <w:tcW w:w="635" w:type="dxa"/>
            <w:shd w:val="clear" w:color="auto" w:fill="FFFFFF"/>
          </w:tcPr>
          <w:p w14:paraId="6703C5A5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8.</w:t>
            </w:r>
          </w:p>
        </w:tc>
        <w:tc>
          <w:tcPr>
            <w:tcW w:w="4608" w:type="dxa"/>
            <w:shd w:val="clear" w:color="auto" w:fill="FFFFFF"/>
            <w:vAlign w:val="bottom"/>
          </w:tcPr>
          <w:p w14:paraId="16C22648" w14:textId="77777777" w:rsidR="00690FEB" w:rsidRPr="00D00311" w:rsidRDefault="00690FEB" w:rsidP="001D2020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Beszerzett technikai eszközök száma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1435BBE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00235BB9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30</w:t>
            </w:r>
          </w:p>
        </w:tc>
      </w:tr>
      <w:tr w:rsidR="00690FEB" w:rsidRPr="00D00311" w14:paraId="6F35A0F6" w14:textId="77777777" w:rsidTr="001D2020">
        <w:tc>
          <w:tcPr>
            <w:tcW w:w="635" w:type="dxa"/>
            <w:shd w:val="clear" w:color="auto" w:fill="FFFFFF"/>
          </w:tcPr>
          <w:p w14:paraId="1331A15D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9.</w:t>
            </w:r>
          </w:p>
        </w:tc>
        <w:tc>
          <w:tcPr>
            <w:tcW w:w="4608" w:type="dxa"/>
            <w:shd w:val="clear" w:color="auto" w:fill="FFFFFF"/>
            <w:vAlign w:val="bottom"/>
          </w:tcPr>
          <w:p w14:paraId="72082AAC" w14:textId="77777777" w:rsidR="00690FEB" w:rsidRPr="00D00311" w:rsidRDefault="00690FEB" w:rsidP="001D2020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Fejlesztett/beszerzett IT eszközök száma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E5A0A09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1F3FD75C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30</w:t>
            </w:r>
          </w:p>
        </w:tc>
      </w:tr>
      <w:tr w:rsidR="00690FEB" w:rsidRPr="00D00311" w14:paraId="7BC2D6B4" w14:textId="77777777" w:rsidTr="001D2020">
        <w:tc>
          <w:tcPr>
            <w:tcW w:w="635" w:type="dxa"/>
            <w:shd w:val="clear" w:color="auto" w:fill="FFFFFF"/>
          </w:tcPr>
          <w:p w14:paraId="776CF493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10.</w:t>
            </w:r>
          </w:p>
        </w:tc>
        <w:tc>
          <w:tcPr>
            <w:tcW w:w="4608" w:type="dxa"/>
            <w:shd w:val="clear" w:color="auto" w:fill="FFFFFF"/>
            <w:vAlign w:val="bottom"/>
          </w:tcPr>
          <w:p w14:paraId="29EFAB4E" w14:textId="77777777" w:rsidR="00690FEB" w:rsidRPr="00D00311" w:rsidRDefault="00690FEB" w:rsidP="001D2020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Beszerzett járművek száma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A8BAB92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0B41F0E2" w14:textId="77777777" w:rsidR="00690FEB" w:rsidRPr="00D00311" w:rsidRDefault="00690FEB" w:rsidP="001D2020">
            <w:pPr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2</w:t>
            </w:r>
          </w:p>
        </w:tc>
      </w:tr>
    </w:tbl>
    <w:p w14:paraId="3B55AF4B" w14:textId="77777777" w:rsidR="00690FEB" w:rsidRDefault="00690FEB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A8DAF" w14:textId="6258C4C1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 célértéke kumulált érték,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46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lastRenderedPageBreak/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törvény végrehajtásáról szóló 368/2011. (XII. 31.) Korm. rendelet (a továbbiakban: Ávr.)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lastRenderedPageBreak/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469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47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1BB0253C" w14:textId="1DAFA8DB" w:rsidR="0024197F" w:rsidRDefault="00054B94" w:rsidP="0024197F">
      <w:pPr>
        <w:suppressAutoHyphens/>
        <w:spacing w:beforeLines="60" w:before="144" w:afterLines="60" w:after="144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B94">
        <w:rPr>
          <w:rFonts w:ascii="Times New Roman" w:hAnsi="Times New Roman"/>
          <w:sz w:val="24"/>
          <w:szCs w:val="24"/>
        </w:rPr>
        <w:t>a</w:t>
      </w:r>
      <w:proofErr w:type="gramEnd"/>
      <w:r w:rsidRPr="00054B94">
        <w:rPr>
          <w:rFonts w:ascii="Times New Roman" w:hAnsi="Times New Roman"/>
          <w:sz w:val="24"/>
          <w:szCs w:val="24"/>
        </w:rPr>
        <w:t>) Költségvetési szerv és intézménye</w:t>
      </w:r>
    </w:p>
    <w:p w14:paraId="73014292" w14:textId="15A99D04" w:rsidR="0032087D" w:rsidRDefault="0032087D" w:rsidP="0024197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lastRenderedPageBreak/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r w:rsidRPr="00980DEC">
        <w:rPr>
          <w:rFonts w:ascii="Times New Roman" w:hAnsi="Times New Roman"/>
          <w:sz w:val="24"/>
          <w:szCs w:val="24"/>
        </w:rPr>
        <w:t>Ávr.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Ávr.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(Ávr.)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Ávr.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Ávr.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(Ávr.)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>rojekt kapcsán – tekintettel az Ávr.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47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472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47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47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475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47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§-a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0BA3DA9F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E1602B">
        <w:rPr>
          <w:rFonts w:ascii="Times New Roman" w:hAnsi="Times New Roman"/>
          <w:b/>
          <w:sz w:val="24"/>
          <w:szCs w:val="24"/>
        </w:rPr>
        <w:t>ú</w:t>
      </w:r>
      <w:r w:rsidR="00E1602B" w:rsidRPr="00E1602B">
        <w:rPr>
          <w:rFonts w:ascii="Times New Roman" w:hAnsi="Times New Roman"/>
          <w:b/>
          <w:sz w:val="24"/>
          <w:szCs w:val="24"/>
        </w:rPr>
        <w:t xml:space="preserve">tmutató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4E9AE2B1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E1602B">
        <w:rPr>
          <w:rFonts w:ascii="Times New Roman" w:hAnsi="Times New Roman"/>
          <w:sz w:val="24"/>
          <w:szCs w:val="24"/>
        </w:rPr>
        <w:t>Útmutató</w:t>
      </w:r>
      <w:r w:rsidR="00E1602B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1FAB35B4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E1602B">
        <w:rPr>
          <w:rFonts w:ascii="Times New Roman" w:hAnsi="Times New Roman"/>
          <w:sz w:val="24"/>
          <w:szCs w:val="24"/>
        </w:rPr>
        <w:t>Útmutató</w:t>
      </w:r>
      <w:r w:rsidR="00E1602B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>mum összeggel limitált költségtételek (pl. szállás, catering,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4CF133D6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E1602B">
        <w:rPr>
          <w:rFonts w:ascii="Times New Roman" w:hAnsi="Times New Roman"/>
          <w:sz w:val="24"/>
          <w:szCs w:val="24"/>
        </w:rPr>
        <w:t>Útmutató</w:t>
      </w:r>
      <w:r w:rsidR="00E1602B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47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0A70FCFB" w14:textId="2BA5E61A" w:rsidR="002D0350" w:rsidRPr="000F779B" w:rsidRDefault="002D0350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47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47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25F2F398" w:rsidR="0032087D" w:rsidRPr="00D9380C" w:rsidRDefault="007D4750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  <w:bookmarkStart w:id="23" w:name="_GoBack"/>
      <w:bookmarkEnd w:id="23"/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48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4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5" w:name="_Toc1168548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5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r w:rsidRPr="00BB04BA">
        <w:rPr>
          <w:rFonts w:ascii="Times New Roman" w:hAnsi="Times New Roman"/>
          <w:sz w:val="24"/>
          <w:szCs w:val="24"/>
        </w:rPr>
        <w:lastRenderedPageBreak/>
        <w:t>cafeteria,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48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6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7" w:name="_Toc1168548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7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48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8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9" w:name="_Toc1168548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9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48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30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487"/>
      <w:r w:rsidRPr="00794F6F">
        <w:rPr>
          <w:rFonts w:ascii="Times New Roman" w:hAnsi="Times New Roman"/>
          <w:color w:val="auto"/>
        </w:rPr>
        <w:t>IV.5. Nem elszámolható költségek</w:t>
      </w:r>
      <w:bookmarkEnd w:id="31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2" w:name="_Toc11685488"/>
      <w:r w:rsidRPr="00144B03">
        <w:rPr>
          <w:rFonts w:ascii="Times New Roman" w:hAnsi="Times New Roman"/>
          <w:color w:val="auto"/>
        </w:rPr>
        <w:t>IV.6. Bevételek</w:t>
      </w:r>
      <w:bookmarkEnd w:id="32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3" w:name="_Toc1168548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3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D0265">
        <w:rPr>
          <w:rFonts w:ascii="Times New Roman" w:hAnsi="Times New Roman"/>
          <w:sz w:val="24"/>
          <w:szCs w:val="24"/>
        </w:rPr>
        <w:t xml:space="preserve">Összpontszám: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4" w:name="_Toc1168549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4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hiánypótolható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Hiánypótolható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disszeminációs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5" w:name="_Toc1168549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5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6" w:name="_Toc1168549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6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7" w:name="_Toc1168549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7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8" w:name="_Toc1168549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8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9" w:name="_Toc1168549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9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0" w:name="_Toc1168549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40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23E15C1B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E1602B">
        <w:rPr>
          <w:rFonts w:ascii="Times New Roman" w:hAnsi="Times New Roman"/>
          <w:sz w:val="24"/>
          <w:szCs w:val="24"/>
        </w:rPr>
        <w:t xml:space="preserve">Útmutató </w:t>
      </w:r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7D4750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49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49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499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50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50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50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vr.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Felelős Hatóság a kifogást az Ávr.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50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50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50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50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50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14284" w:type="dxa"/>
        <w:tblLook w:val="04A0" w:firstRow="1" w:lastRow="0" w:firstColumn="1" w:lastColumn="0" w:noHBand="0" w:noVBand="1"/>
      </w:tblPr>
      <w:tblGrid>
        <w:gridCol w:w="3652"/>
        <w:gridCol w:w="2631"/>
        <w:gridCol w:w="8001"/>
      </w:tblGrid>
      <w:tr w:rsidR="006352B7" w:rsidRPr="00905E2F" w14:paraId="777753D9" w14:textId="77777777" w:rsidTr="00FD2A7A">
        <w:tc>
          <w:tcPr>
            <w:tcW w:w="3652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megnevezése</w:t>
            </w:r>
          </w:p>
        </w:tc>
        <w:tc>
          <w:tcPr>
            <w:tcW w:w="2631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6352B7" w:rsidRPr="00905E2F" w14:paraId="51A38EB9" w14:textId="77777777" w:rsidTr="00FD2A7A">
        <w:tc>
          <w:tcPr>
            <w:tcW w:w="3652" w:type="dxa"/>
            <w:vAlign w:val="center"/>
          </w:tcPr>
          <w:p w14:paraId="37D89FD2" w14:textId="0BC5E8F7" w:rsidR="006352B7" w:rsidRPr="00AE5017" w:rsidRDefault="00DA191C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t>Nemzetközi műveletek száma</w:t>
            </w:r>
          </w:p>
        </w:tc>
        <w:tc>
          <w:tcPr>
            <w:tcW w:w="2631" w:type="dxa"/>
            <w:vAlign w:val="center"/>
          </w:tcPr>
          <w:p w14:paraId="0C781C06" w14:textId="5B9F004A" w:rsidR="006352B7" w:rsidRPr="00AE5017" w:rsidRDefault="00AE5017" w:rsidP="00C16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fő</w:t>
            </w:r>
          </w:p>
        </w:tc>
        <w:tc>
          <w:tcPr>
            <w:tcW w:w="8001" w:type="dxa"/>
            <w:vAlign w:val="center"/>
          </w:tcPr>
          <w:p w14:paraId="78F875FC" w14:textId="77777777" w:rsidR="00E85FED" w:rsidRPr="00E85FED" w:rsidRDefault="00E85FED" w:rsidP="00E85F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projekt keretében megvalósult, az Alap által finanszírozott JIT/EMPACT együttműködés által </w:t>
            </w:r>
            <w:proofErr w:type="gramStart"/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megvalósított  ellenőrzött</w:t>
            </w:r>
            <w:proofErr w:type="gramEnd"/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szállítások, figyelések, továbbá az elkövetők elfogása céljából megvalósított akciók száma</w:t>
            </w:r>
          </w:p>
          <w:p w14:paraId="6ED3420D" w14:textId="77777777" w:rsidR="00E85FED" w:rsidRPr="00E85FED" w:rsidRDefault="00E85FED" w:rsidP="00E85F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továbbá </w:t>
            </w:r>
          </w:p>
          <w:p w14:paraId="76D7D8C2" w14:textId="274408F5" w:rsidR="006352B7" w:rsidRPr="00905E2F" w:rsidRDefault="00E85FED" w:rsidP="00385C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a súlyos és szervezett, határon átnyúló bűncselekményekhez - beleértve a rend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é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szeti és hivatali korrupciós jellegű bűncselekményeket is - kapcsolódó, a szerv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zeti egység önerejéből végrehajtott ellenőrzött szállítások, figyelések, továbbá az elkövetők elfogása céljából megvalósított akciók száma, amelyekben a projekt keretében beszerzett eszközöket a beszerzést követő 3 évben használták.</w:t>
            </w:r>
          </w:p>
        </w:tc>
      </w:tr>
      <w:tr w:rsidR="00A4376F" w:rsidRPr="00905E2F" w14:paraId="7489BAAA" w14:textId="77777777" w:rsidTr="00FD2A7A">
        <w:tc>
          <w:tcPr>
            <w:tcW w:w="3652" w:type="dxa"/>
            <w:vAlign w:val="center"/>
          </w:tcPr>
          <w:p w14:paraId="5F39C998" w14:textId="16AB18D1" w:rsidR="00A4376F" w:rsidRPr="00AE5017" w:rsidRDefault="00DA191C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t>Párhuzamos gazdasági-pénzügyi eljárások száma</w:t>
            </w:r>
          </w:p>
        </w:tc>
        <w:tc>
          <w:tcPr>
            <w:tcW w:w="2631" w:type="dxa"/>
            <w:vAlign w:val="center"/>
          </w:tcPr>
          <w:p w14:paraId="46F7A6BB" w14:textId="7DDAED0C" w:rsidR="00A4376F" w:rsidRPr="00AE5017" w:rsidRDefault="00AE5017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25C43DF6" w14:textId="7AD74089" w:rsidR="00A4376F" w:rsidRPr="00905E2F" w:rsidRDefault="00163215" w:rsidP="001632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215">
              <w:rPr>
                <w:rFonts w:ascii="Times New Roman" w:hAnsi="Times New Roman"/>
                <w:color w:val="000000"/>
                <w:sz w:val="24"/>
                <w:szCs w:val="24"/>
              </w:rPr>
              <w:t>Gazdasági-pénzügyi felderítések, nyomozások, vagyon-visszaszerzési eljárások száma,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3215">
              <w:rPr>
                <w:rFonts w:ascii="Times New Roman" w:hAnsi="Times New Roman"/>
                <w:color w:val="000000"/>
                <w:sz w:val="24"/>
                <w:szCs w:val="24"/>
              </w:rPr>
              <w:t>amelyek súlyos és szervezett, határon átnyúló bűncselekmények tárgy</w:t>
            </w:r>
            <w:r w:rsidRPr="00163215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 w:rsidRPr="00163215">
              <w:rPr>
                <w:rFonts w:ascii="Times New Roman" w:hAnsi="Times New Roman"/>
                <w:color w:val="000000"/>
                <w:sz w:val="24"/>
                <w:szCs w:val="24"/>
              </w:rPr>
              <w:t>ban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3215">
              <w:rPr>
                <w:rFonts w:ascii="Times New Roman" w:hAnsi="Times New Roman"/>
                <w:color w:val="000000"/>
                <w:sz w:val="24"/>
                <w:szCs w:val="24"/>
              </w:rPr>
              <w:t>folytatott eljárások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3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mellett kerültek előzetesen vagy azokkal párhuzamosan </w:t>
            </w:r>
            <w:proofErr w:type="gramStart"/>
            <w:r w:rsidRPr="00163215">
              <w:rPr>
                <w:rFonts w:ascii="Times New Roman" w:hAnsi="Times New Roman"/>
                <w:color w:val="000000"/>
                <w:sz w:val="24"/>
                <w:szCs w:val="24"/>
              </w:rPr>
              <w:t>megindításra</w:t>
            </w:r>
            <w:proofErr w:type="gramEnd"/>
            <w:r w:rsidRPr="00163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és amelyekben a projekt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</w:t>
            </w:r>
            <w:r w:rsidRPr="00163215">
              <w:rPr>
                <w:rFonts w:ascii="Times New Roman" w:hAnsi="Times New Roman"/>
                <w:color w:val="000000"/>
                <w:sz w:val="24"/>
                <w:szCs w:val="24"/>
              </w:rPr>
              <w:t>eretében beszerzett eszközöket a besze</w:t>
            </w:r>
            <w:r w:rsidRPr="00163215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63215">
              <w:rPr>
                <w:rFonts w:ascii="Times New Roman" w:hAnsi="Times New Roman"/>
                <w:color w:val="000000"/>
                <w:sz w:val="24"/>
                <w:szCs w:val="24"/>
              </w:rPr>
              <w:t>zést követő 3 évben használták.</w:t>
            </w:r>
          </w:p>
        </w:tc>
      </w:tr>
      <w:tr w:rsidR="00DA191C" w:rsidRPr="00905E2F" w14:paraId="167A2945" w14:textId="77777777" w:rsidTr="00FD2A7A">
        <w:tc>
          <w:tcPr>
            <w:tcW w:w="3652" w:type="dxa"/>
            <w:vAlign w:val="center"/>
          </w:tcPr>
          <w:p w14:paraId="387E1B76" w14:textId="2243E875" w:rsidR="00DA191C" w:rsidRPr="00DA191C" w:rsidRDefault="00DA191C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t>Megrendelések számának növek</w:t>
            </w: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t>dése</w:t>
            </w:r>
          </w:p>
        </w:tc>
        <w:tc>
          <w:tcPr>
            <w:tcW w:w="2631" w:type="dxa"/>
            <w:vAlign w:val="center"/>
          </w:tcPr>
          <w:p w14:paraId="58F050A9" w14:textId="22398F85" w:rsidR="00DA191C" w:rsidRPr="00AE5017" w:rsidRDefault="00DA191C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1" w:type="dxa"/>
            <w:vAlign w:val="center"/>
          </w:tcPr>
          <w:p w14:paraId="16535896" w14:textId="55B068B6" w:rsidR="00DA191C" w:rsidRDefault="00547ECF" w:rsidP="00385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Érkezett és teljesített megkeresések, felkérések számának növekedése, amelye</w:t>
            </w: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ben a projekt keretében beszerzett/fejlesztett e</w:t>
            </w:r>
            <w:r w:rsidR="00385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szközöket a beszerzést követő 3 </w:t>
            </w: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évb</w:t>
            </w:r>
            <w:r w:rsidR="00385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 a terrorizmussal kapcsolatos </w:t>
            </w: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cselekmények felderítése céljából használták.</w:t>
            </w: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Megjegyzés: az arányosítás alapja a beszerzést megelőző év azonos tárgybeli te</w:t>
            </w: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jesített megrendeléseinek, felkéréseinek száma.</w:t>
            </w:r>
          </w:p>
        </w:tc>
      </w:tr>
      <w:tr w:rsidR="00DA191C" w:rsidRPr="00905E2F" w14:paraId="25D37BB7" w14:textId="77777777" w:rsidTr="00FD2A7A">
        <w:tc>
          <w:tcPr>
            <w:tcW w:w="3652" w:type="dxa"/>
            <w:vAlign w:val="center"/>
          </w:tcPr>
          <w:p w14:paraId="2E96E60C" w14:textId="71C45E7F" w:rsidR="00DA191C" w:rsidRPr="00DA191C" w:rsidRDefault="00DA191C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Elemzett adatok számának növek</w:t>
            </w: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t>dése</w:t>
            </w:r>
          </w:p>
        </w:tc>
        <w:tc>
          <w:tcPr>
            <w:tcW w:w="2631" w:type="dxa"/>
            <w:vAlign w:val="center"/>
          </w:tcPr>
          <w:p w14:paraId="6E041A58" w14:textId="156A3204" w:rsidR="00DA191C" w:rsidRDefault="00DA191C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1" w:type="dxa"/>
            <w:vAlign w:val="center"/>
          </w:tcPr>
          <w:p w14:paraId="21A9E4EC" w14:textId="27C21E6F" w:rsidR="007D61A5" w:rsidRPr="007D61A5" w:rsidRDefault="007D61A5" w:rsidP="007D61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Pr="007D61A5">
              <w:rPr>
                <w:rFonts w:ascii="Times New Roman" w:hAnsi="Times New Roman"/>
                <w:color w:val="000000"/>
                <w:sz w:val="24"/>
                <w:szCs w:val="24"/>
              </w:rPr>
              <w:t>projekt keretében beszerzett IT technikai eszközök alkalmazásával a projekt lezárását 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övető 3 évben </w:t>
            </w:r>
            <w:r w:rsidRPr="007D61A5">
              <w:rPr>
                <w:rFonts w:ascii="Times New Roman" w:hAnsi="Times New Roman"/>
                <w:color w:val="000000"/>
                <w:sz w:val="24"/>
                <w:szCs w:val="24"/>
              </w:rPr>
              <w:t>elemzett adatok mennyiségének növekedése.</w:t>
            </w:r>
          </w:p>
          <w:p w14:paraId="2E73A6D1" w14:textId="0DBFEDD5" w:rsidR="00DA191C" w:rsidRDefault="007D61A5" w:rsidP="007D61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1A5">
              <w:rPr>
                <w:rFonts w:ascii="Times New Roman" w:hAnsi="Times New Roman"/>
                <w:color w:val="000000"/>
                <w:sz w:val="24"/>
                <w:szCs w:val="24"/>
              </w:rPr>
              <w:t>Megjegyzés: az arányosítás alapja a beszerzést megelőző év elemzett adatainak száma.</w:t>
            </w:r>
          </w:p>
        </w:tc>
      </w:tr>
      <w:tr w:rsidR="00DA191C" w:rsidRPr="00905E2F" w14:paraId="70B66C8C" w14:textId="77777777" w:rsidTr="00FD2A7A">
        <w:tc>
          <w:tcPr>
            <w:tcW w:w="3652" w:type="dxa"/>
            <w:vAlign w:val="center"/>
          </w:tcPr>
          <w:p w14:paraId="2FA2DC56" w14:textId="6442DFD3" w:rsidR="00DA191C" w:rsidRPr="00DA191C" w:rsidRDefault="00DA191C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t>Laboratóriumi technikai eszközök alkalmazásainak száma</w:t>
            </w:r>
          </w:p>
        </w:tc>
        <w:tc>
          <w:tcPr>
            <w:tcW w:w="2631" w:type="dxa"/>
            <w:vAlign w:val="center"/>
          </w:tcPr>
          <w:p w14:paraId="15EB8B7D" w14:textId="74919916" w:rsidR="00DA191C" w:rsidRDefault="00DA191C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0852EF63" w14:textId="4C11F645" w:rsidR="00DA191C" w:rsidRDefault="00547ECF" w:rsidP="00FD2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projekt keretében a súlyos, szervezett, határon átnyúló bűncselekményekhez - beleértve a terrorizmust is - köthető üzemszerű gyakorlati használatainak </w:t>
            </w:r>
            <w:proofErr w:type="gramStart"/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száma</w:t>
            </w:r>
            <w:proofErr w:type="gramEnd"/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amelyekben a projekt keretében beszerzett eszközöket a beszerzést követő 3 é</w:t>
            </w: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ben használták.</w:t>
            </w:r>
          </w:p>
        </w:tc>
      </w:tr>
      <w:tr w:rsidR="00DA191C" w:rsidRPr="00905E2F" w14:paraId="55970404" w14:textId="77777777" w:rsidTr="00FD2A7A">
        <w:tc>
          <w:tcPr>
            <w:tcW w:w="3652" w:type="dxa"/>
            <w:vAlign w:val="center"/>
          </w:tcPr>
          <w:p w14:paraId="7AFC8B35" w14:textId="489223C0" w:rsidR="00DA191C" w:rsidRPr="00DA191C" w:rsidRDefault="00DA191C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t>Vizsgálati idő csökkenése</w:t>
            </w:r>
          </w:p>
        </w:tc>
        <w:tc>
          <w:tcPr>
            <w:tcW w:w="2631" w:type="dxa"/>
            <w:vAlign w:val="center"/>
          </w:tcPr>
          <w:p w14:paraId="45755CE6" w14:textId="2972637A" w:rsidR="00DA191C" w:rsidRDefault="00DA191C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1" w:type="dxa"/>
            <w:vAlign w:val="center"/>
          </w:tcPr>
          <w:p w14:paraId="39E9B799" w14:textId="77777777" w:rsidR="00547ECF" w:rsidRPr="00547ECF" w:rsidRDefault="00547ECF" w:rsidP="00547E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A projekt keretében beszerzett eszközökkel történő a súlyos, szervezett, határon átnyúló bűncselekményekhez - beleértve a terrorizmust is - köthető anyag lab</w:t>
            </w: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ratóriumi vizsgálatához szükséges átlagos munkaórák számának csökkenése a projekt fizikai befejezését követő naptári év végéig.</w:t>
            </w:r>
          </w:p>
          <w:p w14:paraId="4279CC14" w14:textId="563546C4" w:rsidR="00DA191C" w:rsidRDefault="00547ECF" w:rsidP="00547E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ECF">
              <w:rPr>
                <w:rFonts w:ascii="Times New Roman" w:hAnsi="Times New Roman"/>
                <w:color w:val="000000"/>
                <w:sz w:val="24"/>
                <w:szCs w:val="24"/>
              </w:rPr>
              <w:t>Megjegyzés: az arányosítás alapja a beszerzést megelőző év átlagos vizsgálati ideje.</w:t>
            </w:r>
          </w:p>
        </w:tc>
      </w:tr>
      <w:tr w:rsidR="00DA191C" w:rsidRPr="00905E2F" w14:paraId="72120F90" w14:textId="77777777" w:rsidTr="00FD2A7A">
        <w:tc>
          <w:tcPr>
            <w:tcW w:w="3652" w:type="dxa"/>
            <w:vAlign w:val="center"/>
          </w:tcPr>
          <w:p w14:paraId="31F47472" w14:textId="7A578700" w:rsidR="00DA191C" w:rsidRPr="00DA191C" w:rsidRDefault="00DA191C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t>Beszerzett technikai eszközök száma</w:t>
            </w:r>
          </w:p>
        </w:tc>
        <w:tc>
          <w:tcPr>
            <w:tcW w:w="2631" w:type="dxa"/>
            <w:vAlign w:val="center"/>
          </w:tcPr>
          <w:p w14:paraId="0A23F6B6" w14:textId="0AE2FBB2" w:rsidR="00DA191C" w:rsidRDefault="00DA191C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458B8754" w14:textId="77777777" w:rsidR="00E85FED" w:rsidRPr="00E85FED" w:rsidRDefault="00E85FED" w:rsidP="00E85F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Súlyos és szervezett, határon átnyúló bűncselekményekhez kapcsolódóan a pr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jekt keretében beszerzett speciális felderítési, nyomozati, műveleti, operatív technikai eszközök, valamint (mobil) laboratóriumi felszerelések és bűnügyi technikai eszközök száma; </w:t>
            </w:r>
          </w:p>
          <w:p w14:paraId="14D387CC" w14:textId="77777777" w:rsidR="00E85FED" w:rsidRPr="00E85FED" w:rsidRDefault="00E85FED" w:rsidP="00E85F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továbbá </w:t>
            </w:r>
          </w:p>
          <w:p w14:paraId="20BC478F" w14:textId="120D4E44" w:rsidR="00DA191C" w:rsidRDefault="00E85FED" w:rsidP="00E85F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a polgárok és a kritikus infrastruktúrák védelmi képességének javítása céljából a projekt keretében beszerzett speciális védőeszközök továbbá felderítési, művel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ti, </w:t>
            </w:r>
            <w:proofErr w:type="gramStart"/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mentesítési</w:t>
            </w:r>
            <w:proofErr w:type="gramEnd"/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eszközök száma, amelyek egyedi bekerülési értéke terv szerinti értékcsökkenés alapján egy összegben nem számolható el a vonatkozó jogsz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bályok szerint és értékük meghaladja a nettó 200.000 Ft-os értékhatárt.</w:t>
            </w:r>
          </w:p>
        </w:tc>
      </w:tr>
      <w:tr w:rsidR="00DA191C" w:rsidRPr="00905E2F" w14:paraId="0B5851BE" w14:textId="77777777" w:rsidTr="00FD2A7A">
        <w:tc>
          <w:tcPr>
            <w:tcW w:w="3652" w:type="dxa"/>
            <w:vAlign w:val="center"/>
          </w:tcPr>
          <w:p w14:paraId="61A43AC4" w14:textId="20CB2652" w:rsidR="00DA191C" w:rsidRPr="00DA191C" w:rsidRDefault="00DA191C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Fejlesztett/beszerzett IT eszközök száma</w:t>
            </w:r>
          </w:p>
        </w:tc>
        <w:tc>
          <w:tcPr>
            <w:tcW w:w="2631" w:type="dxa"/>
            <w:vAlign w:val="center"/>
          </w:tcPr>
          <w:p w14:paraId="746F6A82" w14:textId="2C89C965" w:rsidR="00DA191C" w:rsidRDefault="00DA191C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71560059" w14:textId="68111A1E" w:rsidR="00DA191C" w:rsidRDefault="00E85FED" w:rsidP="00FD2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A projekt keretében beszerzett, fejlesztett azon súlyos és szervezett, határon á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nyúló bűncselekményekhez - beleértve a terrorizmust is - kapcsolódó felderítést, nyomozást segítő szoftver, hardver eszközök száma, amelyek egyedi bekerülési értéke terv szerinti értékcsökkenés alapján egy összegben nem számolható el a vonatkozó jogszabályok szerint és értékük meghaladja a nettó 200.000 Ft-os é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tékhatárt</w:t>
            </w:r>
            <w:r w:rsidR="007136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136CC" w:rsidRPr="007136CC">
              <w:rPr>
                <w:rFonts w:ascii="Times New Roman" w:hAnsi="Times New Roman"/>
                <w:color w:val="000000"/>
                <w:sz w:val="24"/>
                <w:szCs w:val="24"/>
              </w:rPr>
              <w:t>beleértve az adat-, információáramlás javítása, valamint a biztonságos adat- és információcsere érdekében fejlesztett, beszerzett újszerű, felhasználó-központú megoldást is.</w:t>
            </w:r>
            <w:proofErr w:type="gramEnd"/>
          </w:p>
        </w:tc>
      </w:tr>
      <w:tr w:rsidR="00DA191C" w:rsidRPr="00905E2F" w14:paraId="386FF2E8" w14:textId="77777777" w:rsidTr="00FD2A7A">
        <w:tc>
          <w:tcPr>
            <w:tcW w:w="3652" w:type="dxa"/>
            <w:vAlign w:val="center"/>
          </w:tcPr>
          <w:p w14:paraId="326694FD" w14:textId="7AFC24E2" w:rsidR="00DA191C" w:rsidRPr="00DA191C" w:rsidRDefault="00DA191C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C">
              <w:rPr>
                <w:rFonts w:ascii="Times New Roman" w:hAnsi="Times New Roman"/>
                <w:color w:val="000000"/>
                <w:sz w:val="24"/>
                <w:szCs w:val="24"/>
              </w:rPr>
              <w:t>Beszerzett járművek száma</w:t>
            </w:r>
          </w:p>
        </w:tc>
        <w:tc>
          <w:tcPr>
            <w:tcW w:w="2631" w:type="dxa"/>
            <w:vAlign w:val="center"/>
          </w:tcPr>
          <w:p w14:paraId="246E8A4C" w14:textId="361FE0C6" w:rsidR="00DA191C" w:rsidRDefault="00DA191C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3FBC5E06" w14:textId="0DF894A6" w:rsidR="00DA191C" w:rsidRDefault="00E85FED" w:rsidP="002A0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Súlyos és szervezett, határon átnyúló bűncselekményekhez kapcsolódóan a pr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jekt keretében beszerzett </w:t>
            </w:r>
            <w:r w:rsidR="002A0365">
              <w:rPr>
                <w:rFonts w:ascii="Times New Roman" w:hAnsi="Times New Roman"/>
                <w:color w:val="000000"/>
                <w:sz w:val="24"/>
                <w:szCs w:val="24"/>
              </w:rPr>
              <w:t>átalakított és felszerelt mobil műveletirányító közpon</w:t>
            </w:r>
            <w:r w:rsidR="002A0365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2A0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ként funkcionáló járművek </w:t>
            </w:r>
            <w:r w:rsidRPr="00E85FED">
              <w:rPr>
                <w:rFonts w:ascii="Times New Roman" w:hAnsi="Times New Roman"/>
                <w:color w:val="000000"/>
                <w:sz w:val="24"/>
                <w:szCs w:val="24"/>
              </w:rPr>
              <w:t>száma.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50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disszeminációs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362990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362990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362990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42694183" w14:textId="77777777" w:rsidR="00C803D9" w:rsidRPr="00C803D9" w:rsidRDefault="0032087D" w:rsidP="00C803D9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C803D9">
        <w:rPr>
          <w:rFonts w:ascii="Times New Roman" w:hAnsi="Times New Roman"/>
          <w:sz w:val="24"/>
          <w:szCs w:val="24"/>
        </w:rPr>
        <w:t xml:space="preserve"> </w:t>
      </w:r>
      <w:r w:rsidR="00C803D9" w:rsidRPr="00C803D9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(pl: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820779" w:rsidRDefault="00820779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820779" w:rsidRDefault="00820779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820779" w:rsidRDefault="008207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820779" w:rsidRPr="00AA01FE" w:rsidRDefault="00820779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7D4750">
      <w:rPr>
        <w:rFonts w:ascii="Times New Roman" w:hAnsi="Times New Roman"/>
        <w:b/>
        <w:bCs/>
        <w:noProof/>
      </w:rPr>
      <w:t>26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7D4750">
      <w:rPr>
        <w:rFonts w:ascii="Times New Roman" w:hAnsi="Times New Roman"/>
        <w:b/>
        <w:bCs/>
        <w:noProof/>
      </w:rPr>
      <w:t>84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820779" w:rsidRDefault="008207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820779" w:rsidRDefault="00820779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820779" w:rsidRDefault="00820779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820779" w:rsidRPr="009A2523" w:rsidRDefault="00820779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D4750">
      <w:rPr>
        <w:rStyle w:val="Oldalszm"/>
        <w:noProof/>
      </w:rPr>
      <w:t>54</w:t>
    </w:r>
    <w:r>
      <w:rPr>
        <w:rStyle w:val="Oldalszm"/>
      </w:rPr>
      <w:fldChar w:fldCharType="end"/>
    </w:r>
  </w:p>
  <w:p w14:paraId="39E8D495" w14:textId="77777777" w:rsidR="00820779" w:rsidRDefault="00820779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820779" w:rsidRPr="009A2523" w:rsidRDefault="00820779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820779" w:rsidRPr="00A60846" w:rsidRDefault="00820779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820779" w:rsidRPr="00C06243" w:rsidRDefault="00820779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820779" w:rsidRDefault="00820779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820779" w:rsidRPr="009A2523" w:rsidRDefault="00820779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D4750">
      <w:rPr>
        <w:rStyle w:val="Oldalszm"/>
        <w:noProof/>
      </w:rPr>
      <w:t>84</w:t>
    </w:r>
    <w:r>
      <w:rPr>
        <w:rStyle w:val="Oldalszm"/>
      </w:rPr>
      <w:fldChar w:fldCharType="end"/>
    </w:r>
  </w:p>
  <w:p w14:paraId="20F1BA34" w14:textId="77777777" w:rsidR="00820779" w:rsidRDefault="00820779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820779" w:rsidRPr="009A2523" w:rsidRDefault="00820779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820779" w:rsidRPr="00A60846" w:rsidRDefault="00820779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820779" w:rsidRPr="00C06243" w:rsidRDefault="00820779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820779" w:rsidRDefault="00820779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820779" w:rsidRDefault="00820779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820779" w:rsidRPr="00653CFA" w:rsidRDefault="00820779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820779" w:rsidRPr="00653CFA" w:rsidRDefault="00820779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820779" w:rsidRPr="00653CFA" w:rsidRDefault="00820779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820779" w:rsidRPr="00653CFA" w:rsidRDefault="00820779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820779" w:rsidRPr="00653CFA" w:rsidRDefault="00820779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820779" w:rsidRPr="00653CFA" w:rsidRDefault="00820779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820779" w:rsidRPr="00653CFA" w:rsidRDefault="00820779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820779" w:rsidRPr="00653CFA" w:rsidRDefault="00820779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820779" w:rsidRPr="00601539" w:rsidRDefault="00820779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820779" w:rsidRDefault="00820779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820779" w:rsidRPr="00601539" w:rsidRDefault="00820779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820779" w:rsidRPr="00D960FD" w:rsidRDefault="00820779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820779" w:rsidRPr="00BB142E" w:rsidRDefault="00820779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820779" w:rsidRPr="00BB142E" w:rsidRDefault="00820779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820779" w:rsidRPr="00D960FD" w:rsidRDefault="00820779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820779" w:rsidRPr="00BB142E" w:rsidRDefault="00820779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820779" w:rsidRPr="00BB142E" w:rsidRDefault="00820779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820779" w:rsidRPr="0061151C" w:rsidRDefault="00820779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820779" w:rsidRDefault="00820779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820779" w:rsidRDefault="00820779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820779" w:rsidRPr="00B84EE2" w:rsidRDefault="00820779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820779" w:rsidRPr="00412EC4" w:rsidRDefault="00820779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5457FEB0" w:rsidR="00820779" w:rsidRDefault="007D4750">
    <w:pPr>
      <w:pStyle w:val="lfej"/>
    </w:pPr>
    <w:r>
      <w:rPr>
        <w:noProof/>
      </w:rPr>
      <w:pict w14:anchorId="67236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2" o:spid="_x0000_s51202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025C729D" w:rsidR="00820779" w:rsidRDefault="007D4750">
    <w:pPr>
      <w:pStyle w:val="lfej"/>
    </w:pPr>
    <w:r>
      <w:rPr>
        <w:noProof/>
      </w:rPr>
      <w:pict w14:anchorId="7C487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3" o:spid="_x0000_s51203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36A86E07" w:rsidR="00820779" w:rsidRDefault="007D4750">
    <w:pPr>
      <w:pStyle w:val="lfej"/>
    </w:pPr>
    <w:r>
      <w:rPr>
        <w:noProof/>
      </w:rPr>
      <w:pict w14:anchorId="34AB9C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1" o:spid="_x0000_s51201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0C71DA0D" w:rsidR="00820779" w:rsidRDefault="007D4750">
    <w:pPr>
      <w:pStyle w:val="lfej"/>
    </w:pPr>
    <w:r>
      <w:rPr>
        <w:noProof/>
      </w:rPr>
      <w:pict w14:anchorId="49A9A6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5" o:spid="_x0000_s51205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B9732E6" w:rsidR="00820779" w:rsidRPr="00B47A6C" w:rsidRDefault="007D4750" w:rsidP="00B47A6C">
    <w:pPr>
      <w:pStyle w:val="lfej"/>
    </w:pPr>
    <w:r>
      <w:rPr>
        <w:noProof/>
      </w:rPr>
      <w:pict w14:anchorId="6F81A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6" o:spid="_x0000_s51206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820779" w14:paraId="143FA3BE" w14:textId="77777777" w:rsidTr="00AD0BE0">
      <w:trPr>
        <w:jc w:val="center"/>
      </w:trPr>
      <w:tc>
        <w:tcPr>
          <w:tcW w:w="4323" w:type="dxa"/>
        </w:tcPr>
        <w:p w14:paraId="3536A895" w14:textId="0352D30F" w:rsidR="00820779" w:rsidRPr="00FA3890" w:rsidRDefault="007D4750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2D78835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632434" o:spid="_x0000_s51204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820779" w:rsidRPr="00FA3890" w:rsidRDefault="0082077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820779" w:rsidRPr="00FA3890" w:rsidRDefault="0082077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820779" w:rsidRPr="00FA3890" w:rsidRDefault="0082077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820779" w:rsidRPr="00FA3890" w:rsidRDefault="0082077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820779" w:rsidRPr="00FA3890" w:rsidRDefault="0082077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820779" w:rsidRDefault="00820779" w:rsidP="00AD0BE0">
    <w:pPr>
      <w:pStyle w:val="lfej"/>
    </w:pPr>
  </w:p>
  <w:p w14:paraId="1809E7B6" w14:textId="77777777" w:rsidR="00820779" w:rsidRDefault="00820779" w:rsidP="00AD0BE0">
    <w:pPr>
      <w:pStyle w:val="lfej"/>
    </w:pPr>
  </w:p>
  <w:p w14:paraId="4F0AFA3F" w14:textId="77777777" w:rsidR="00820779" w:rsidRDefault="00820779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820779" w:rsidRPr="00C06243" w:rsidRDefault="00820779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648DD320" w:rsidR="00820779" w:rsidRDefault="007D4750">
    <w:pPr>
      <w:pStyle w:val="lfej"/>
    </w:pPr>
    <w:r>
      <w:rPr>
        <w:noProof/>
      </w:rPr>
      <w:pict w14:anchorId="3CD578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8" o:spid="_x0000_s51208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19E0AB6D" w:rsidR="00820779" w:rsidRPr="00B47A6C" w:rsidRDefault="007D4750" w:rsidP="00B47A6C">
    <w:pPr>
      <w:pStyle w:val="lfej"/>
    </w:pPr>
    <w:r>
      <w:rPr>
        <w:noProof/>
      </w:rPr>
      <w:pict w14:anchorId="0E276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9" o:spid="_x0000_s51209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820779" w14:paraId="73211995" w14:textId="77777777" w:rsidTr="00AD0BE0">
      <w:trPr>
        <w:jc w:val="center"/>
      </w:trPr>
      <w:tc>
        <w:tcPr>
          <w:tcW w:w="4323" w:type="dxa"/>
        </w:tcPr>
        <w:p w14:paraId="1937D6F9" w14:textId="0B446636" w:rsidR="00820779" w:rsidRPr="00FA3890" w:rsidRDefault="007D4750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8D33FD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632437" o:spid="_x0000_s51207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820779" w:rsidRPr="00FA3890" w:rsidRDefault="0082077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820779" w:rsidRPr="00FA3890" w:rsidRDefault="0082077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820779" w:rsidRPr="00FA3890" w:rsidRDefault="0082077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820779" w:rsidRPr="00FA3890" w:rsidRDefault="0082077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820779" w:rsidRPr="00FA3890" w:rsidRDefault="0082077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820779" w:rsidRDefault="00820779" w:rsidP="00AD0BE0">
    <w:pPr>
      <w:pStyle w:val="lfej"/>
    </w:pPr>
  </w:p>
  <w:p w14:paraId="2F7FC325" w14:textId="77777777" w:rsidR="00820779" w:rsidRDefault="00820779" w:rsidP="00AD0BE0">
    <w:pPr>
      <w:pStyle w:val="lfej"/>
    </w:pPr>
  </w:p>
  <w:p w14:paraId="536E3E9A" w14:textId="77777777" w:rsidR="00820779" w:rsidRDefault="00820779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820779" w:rsidRPr="00C06243" w:rsidRDefault="00820779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6AB2"/>
    <w:multiLevelType w:val="hybridMultilevel"/>
    <w:tmpl w:val="7BD40510"/>
    <w:lvl w:ilvl="0" w:tplc="0F0A32A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27B67"/>
    <w:multiLevelType w:val="hybridMultilevel"/>
    <w:tmpl w:val="DE8E88FE"/>
    <w:lvl w:ilvl="0" w:tplc="FEF0EBB0">
      <w:start w:val="1"/>
      <w:numFmt w:val="lowerLetter"/>
      <w:lvlText w:val="%1)"/>
      <w:lvlJc w:val="left"/>
      <w:pPr>
        <w:ind w:left="1134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35C8A"/>
    <w:multiLevelType w:val="hybridMultilevel"/>
    <w:tmpl w:val="C960E9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2E00FA">
      <w:start w:val="1"/>
      <w:numFmt w:val="lowerLetter"/>
      <w:lvlText w:val="%2)"/>
      <w:lvlJc w:val="left"/>
      <w:pPr>
        <w:ind w:left="1080" w:hanging="360"/>
      </w:pPr>
      <w:rPr>
        <w:rFonts w:hint="default"/>
        <w:i/>
      </w:rPr>
    </w:lvl>
    <w:lvl w:ilvl="2" w:tplc="0F0A32AE">
      <w:start w:val="1"/>
      <w:numFmt w:val="lowerLetter"/>
      <w:lvlText w:val="%3)"/>
      <w:lvlJc w:val="left"/>
      <w:pPr>
        <w:ind w:left="1800" w:hanging="360"/>
      </w:pPr>
      <w:rPr>
        <w:rFonts w:hint="default"/>
        <w:i/>
        <w:u w:val="none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3959CE"/>
    <w:multiLevelType w:val="hybridMultilevel"/>
    <w:tmpl w:val="0D38805E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1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18"/>
  </w:num>
  <w:num w:numId="4">
    <w:abstractNumId w:val="29"/>
  </w:num>
  <w:num w:numId="5">
    <w:abstractNumId w:val="14"/>
  </w:num>
  <w:num w:numId="6">
    <w:abstractNumId w:val="54"/>
  </w:num>
  <w:num w:numId="7">
    <w:abstractNumId w:val="45"/>
  </w:num>
  <w:num w:numId="8">
    <w:abstractNumId w:val="3"/>
  </w:num>
  <w:num w:numId="9">
    <w:abstractNumId w:val="33"/>
  </w:num>
  <w:num w:numId="10">
    <w:abstractNumId w:val="61"/>
  </w:num>
  <w:num w:numId="11">
    <w:abstractNumId w:val="15"/>
  </w:num>
  <w:num w:numId="12">
    <w:abstractNumId w:val="39"/>
  </w:num>
  <w:num w:numId="13">
    <w:abstractNumId w:val="23"/>
  </w:num>
  <w:num w:numId="14">
    <w:abstractNumId w:val="7"/>
  </w:num>
  <w:num w:numId="15">
    <w:abstractNumId w:val="1"/>
  </w:num>
  <w:num w:numId="16">
    <w:abstractNumId w:val="58"/>
  </w:num>
  <w:num w:numId="17">
    <w:abstractNumId w:val="38"/>
  </w:num>
  <w:num w:numId="18">
    <w:abstractNumId w:val="56"/>
  </w:num>
  <w:num w:numId="19">
    <w:abstractNumId w:val="9"/>
  </w:num>
  <w:num w:numId="20">
    <w:abstractNumId w:val="46"/>
  </w:num>
  <w:num w:numId="21">
    <w:abstractNumId w:val="35"/>
  </w:num>
  <w:num w:numId="22">
    <w:abstractNumId w:val="34"/>
  </w:num>
  <w:num w:numId="23">
    <w:abstractNumId w:val="50"/>
  </w:num>
  <w:num w:numId="24">
    <w:abstractNumId w:val="32"/>
  </w:num>
  <w:num w:numId="25">
    <w:abstractNumId w:val="53"/>
  </w:num>
  <w:num w:numId="26">
    <w:abstractNumId w:val="20"/>
  </w:num>
  <w:num w:numId="27">
    <w:abstractNumId w:val="28"/>
  </w:num>
  <w:num w:numId="28">
    <w:abstractNumId w:val="6"/>
  </w:num>
  <w:num w:numId="29">
    <w:abstractNumId w:val="13"/>
  </w:num>
  <w:num w:numId="30">
    <w:abstractNumId w:val="0"/>
  </w:num>
  <w:num w:numId="31">
    <w:abstractNumId w:val="52"/>
  </w:num>
  <w:num w:numId="32">
    <w:abstractNumId w:val="25"/>
  </w:num>
  <w:num w:numId="33">
    <w:abstractNumId w:val="48"/>
  </w:num>
  <w:num w:numId="34">
    <w:abstractNumId w:val="11"/>
  </w:num>
  <w:num w:numId="35">
    <w:abstractNumId w:val="55"/>
  </w:num>
  <w:num w:numId="36">
    <w:abstractNumId w:val="27"/>
  </w:num>
  <w:num w:numId="37">
    <w:abstractNumId w:val="36"/>
  </w:num>
  <w:num w:numId="38">
    <w:abstractNumId w:val="43"/>
  </w:num>
  <w:num w:numId="39">
    <w:abstractNumId w:val="21"/>
  </w:num>
  <w:num w:numId="40">
    <w:abstractNumId w:val="16"/>
  </w:num>
  <w:num w:numId="41">
    <w:abstractNumId w:val="12"/>
  </w:num>
  <w:num w:numId="42">
    <w:abstractNumId w:val="49"/>
  </w:num>
  <w:num w:numId="43">
    <w:abstractNumId w:val="59"/>
  </w:num>
  <w:num w:numId="44">
    <w:abstractNumId w:val="37"/>
  </w:num>
  <w:num w:numId="45">
    <w:abstractNumId w:val="10"/>
  </w:num>
  <w:num w:numId="46">
    <w:abstractNumId w:val="26"/>
  </w:num>
  <w:num w:numId="47">
    <w:abstractNumId w:val="57"/>
  </w:num>
  <w:num w:numId="48">
    <w:abstractNumId w:val="8"/>
  </w:num>
  <w:num w:numId="49">
    <w:abstractNumId w:val="60"/>
  </w:num>
  <w:num w:numId="50">
    <w:abstractNumId w:val="44"/>
  </w:num>
  <w:num w:numId="51">
    <w:abstractNumId w:val="2"/>
  </w:num>
  <w:num w:numId="52">
    <w:abstractNumId w:val="4"/>
  </w:num>
  <w:num w:numId="53">
    <w:abstractNumId w:val="42"/>
  </w:num>
  <w:num w:numId="54">
    <w:abstractNumId w:val="47"/>
  </w:num>
  <w:num w:numId="55">
    <w:abstractNumId w:val="30"/>
  </w:num>
  <w:num w:numId="56">
    <w:abstractNumId w:val="19"/>
  </w:num>
  <w:num w:numId="57">
    <w:abstractNumId w:val="51"/>
  </w:num>
  <w:num w:numId="58">
    <w:abstractNumId w:val="24"/>
  </w:num>
  <w:num w:numId="59">
    <w:abstractNumId w:val="28"/>
  </w:num>
  <w:num w:numId="60">
    <w:abstractNumId w:val="5"/>
  </w:num>
  <w:num w:numId="61">
    <w:abstractNumId w:val="22"/>
  </w:num>
  <w:num w:numId="62">
    <w:abstractNumId w:val="17"/>
  </w:num>
  <w:num w:numId="63">
    <w:abstractNumId w:val="40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51210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5F0C"/>
    <w:rsid w:val="00046621"/>
    <w:rsid w:val="0004687E"/>
    <w:rsid w:val="00046CC9"/>
    <w:rsid w:val="000476C8"/>
    <w:rsid w:val="00050055"/>
    <w:rsid w:val="00050F04"/>
    <w:rsid w:val="00052419"/>
    <w:rsid w:val="00053B42"/>
    <w:rsid w:val="0005451B"/>
    <w:rsid w:val="00054B94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487D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215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295A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197F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365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948"/>
    <w:rsid w:val="002C4ADF"/>
    <w:rsid w:val="002D0350"/>
    <w:rsid w:val="002D18DE"/>
    <w:rsid w:val="002D5458"/>
    <w:rsid w:val="002D55D8"/>
    <w:rsid w:val="002D6776"/>
    <w:rsid w:val="002E029B"/>
    <w:rsid w:val="002E1870"/>
    <w:rsid w:val="002E240C"/>
    <w:rsid w:val="002E2FB0"/>
    <w:rsid w:val="002E40AE"/>
    <w:rsid w:val="002E4C8B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299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5C03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85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E4A9F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028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260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47ECF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4F4A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0FEB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36C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443C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185"/>
    <w:rsid w:val="007C62BC"/>
    <w:rsid w:val="007C7907"/>
    <w:rsid w:val="007C79ED"/>
    <w:rsid w:val="007C7C93"/>
    <w:rsid w:val="007D0265"/>
    <w:rsid w:val="007D0729"/>
    <w:rsid w:val="007D2C57"/>
    <w:rsid w:val="007D34FB"/>
    <w:rsid w:val="007D4750"/>
    <w:rsid w:val="007D4E46"/>
    <w:rsid w:val="007D5DB1"/>
    <w:rsid w:val="007D61A5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077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5D24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2CC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4E0D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4717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AD9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034F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0BF2"/>
    <w:rsid w:val="00AE1236"/>
    <w:rsid w:val="00AE125C"/>
    <w:rsid w:val="00AE17B5"/>
    <w:rsid w:val="00AE1ED5"/>
    <w:rsid w:val="00AE200F"/>
    <w:rsid w:val="00AE3265"/>
    <w:rsid w:val="00AE3790"/>
    <w:rsid w:val="00AE5017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36A73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03D9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2BD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600D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191C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26D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602B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03E7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85FE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A7ADD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139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540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A7A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0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7A93-B5B2-44FF-AE21-6150827B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84</Pages>
  <Words>19763</Words>
  <Characters>136365</Characters>
  <Application>Microsoft Office Word</Application>
  <DocSecurity>0</DocSecurity>
  <Lines>1136</Lines>
  <Paragraphs>311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155817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dr. Vábró László</cp:lastModifiedBy>
  <cp:revision>20</cp:revision>
  <cp:lastPrinted>2019-04-01T13:42:00Z</cp:lastPrinted>
  <dcterms:created xsi:type="dcterms:W3CDTF">2019-06-17T11:10:00Z</dcterms:created>
  <dcterms:modified xsi:type="dcterms:W3CDTF">2019-06-17T15:48:00Z</dcterms:modified>
</cp:coreProperties>
</file>